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040" w:after="80"/>
      </w:pPr>
      <w:r>
        <w:rPr>
          <w:b/>
          <w:color w:val="397C7A"/>
          <w:sz w:val="22"/>
        </w:rPr>
        <w:t>DIAGNOSTIC RESEARCH</w:t>
      </w:r>
    </w:p>
    <w:p>
      <w:pPr>
        <w:pStyle w:val="Title"/>
        <w:pBdr>
          <w:top w:val="nil"/>
          <w:left w:val="nil"/>
          <w:bottom w:val="nil"/>
          <w:right w:val="nil"/>
          <w:between w:val="nil"/>
        </w:pBdr>
      </w:pPr>
      <w:r>
        <w:rPr>
          <w:color w:val="000000"/>
        </w:rPr>
        <w:t>AI Benchmarks and</w:t>
        <w:br/>
        <w:t>Reliable Professional Performance</w:t>
      </w:r>
    </w:p>
    <w:p>
      <w:r>
        <w:rPr>
          <w:color w:val="2F5D7C"/>
          <w:sz w:val="30"/>
        </w:rPr>
        <w:t>Diagnostic Research — Portfolio Case Study 001</w:t>
      </w:r>
    </w:p>
    <w:p/>
    <w:tbl>
      <w:tblPr>
        <w:tblW w:type="auto" w:w="0"/>
        <w:jc w:val="center"/>
        <w:tblLook w:firstColumn="1" w:firstRow="1" w:lastColumn="0" w:lastRow="0" w:noHBand="0" w:noVBand="1" w:val="04A0"/>
      </w:tblPr>
      <w:tblGrid>
        <w:gridCol w:w="10080"/>
      </w:tblGrid>
      <w:tr>
        <w:trPr>
          <w:tblHeader w:val="true"/>
          <w:cantSplit/>
        </w:trPr>
        <w:tc>
          <w:tcPr>
            <w:tcW w:type="dxa" w:w="10080"/>
            <w:shd w:fill="EAF1F5"/>
            <w:tcMar>
              <w:top w:w="130" w:type="dxa"/>
              <w:start w:w="160" w:type="dxa"/>
              <w:bottom w:w="130" w:type="dxa"/>
              <w:end w:w="160" w:type="dxa"/>
            </w:tcMar>
          </w:tcPr>
          <w:p>
            <w:pPr>
              <w:spacing w:after="0"/>
            </w:pPr>
            <w:r>
              <w:rPr>
                <w:b/>
                <w:color w:val="17324D"/>
              </w:rPr>
              <w:t xml:space="preserve">Research question  </w:t>
            </w:r>
            <w:r>
              <w:t>How much evidence is there that AI benchmark performance predicts reliable performance in real-world professional tasks?</w:t>
            </w:r>
          </w:p>
        </w:tc>
      </w:tr>
    </w:tbl>
    <w:p>
      <w:pPr>
        <w:spacing w:after="0"/>
      </w:pPr>
    </w:p>
    <w:p>
      <w:pPr>
        <w:spacing w:before="360"/>
      </w:pPr>
      <w:r>
        <w:rPr>
          <w:b/>
          <w:color w:val="17324D"/>
        </w:rPr>
        <w:t>Research package</w:t>
      </w:r>
    </w:p>
    <w:p>
      <w:pPr>
        <w:pStyle w:val="DRBullet"/>
      </w:pPr>
      <w:r>
        <w:t>Executive research memo</w:t>
      </w:r>
    </w:p>
    <w:p>
      <w:pPr>
        <w:pStyle w:val="DRBullet"/>
      </w:pPr>
      <w:r>
        <w:t>Evidence synthesis and adversarial review</w:t>
      </w:r>
    </w:p>
    <w:p>
      <w:pPr>
        <w:pStyle w:val="DRBullet"/>
      </w:pPr>
      <w:r>
        <w:t>Verification notes and limitations</w:t>
      </w:r>
    </w:p>
    <w:p>
      <w:pPr>
        <w:pStyle w:val="DRBullet"/>
      </w:pPr>
      <w:r>
        <w:t>Public-facing portfolio version</w:t>
      </w:r>
    </w:p>
    <w:p>
      <w:pPr>
        <w:pStyle w:val="DRBullet"/>
      </w:pPr>
      <w:r>
        <w:t>Companion evidence matrix workbook</w:t>
      </w:r>
    </w:p>
    <w:p>
      <w:pPr>
        <w:spacing w:before="840"/>
      </w:pPr>
      <w:r>
        <w:rPr>
          <w:b/>
        </w:rPr>
        <w:t xml:space="preserve">Evidence cutoff  9 September 2026 • Corrections  10 September 2026</w:t>
        <w:br/>
      </w:r>
      <w:r>
        <w:t>Prepared as a simulated client engagement. No model vendor commissioned or reviewed this work.</w:t>
      </w:r>
    </w:p>
    <w:p>
      <w:r>
        <w:br w:type="page"/>
      </w:r>
    </w:p>
    <w:p>
      <w:pPr>
        <w:pStyle w:val="Heading1"/>
      </w:pPr>
      <w:r>
        <w:t>Executive Research Memo</w:t>
      </w:r>
    </w:p>
    <w:p>
      <w:pPr>
        <w:pStyle w:val="Heading2"/>
      </w:pPr>
      <w:r>
        <w:t xml:space="preserve">Principal finding</w:t>
      </w:r>
    </w:p>
    <w:tbl>
      <w:tblPr>
        <w:tblW w:type="auto" w:w="0"/>
        <w:jc w:val="center"/>
        <w:tblLook w:firstColumn="1" w:firstRow="1" w:lastColumn="0" w:lastRow="0" w:noHBand="0" w:noVBand="1" w:val="04A0"/>
      </w:tblPr>
      <w:tblGrid>
        <w:gridCol w:w="10080"/>
      </w:tblGrid>
      <w:tr>
        <w:trPr>
          <w:tblHeader w:val="true"/>
          <w:cantSplit/>
        </w:trPr>
        <w:tc>
          <w:tcPr>
            <w:tcW w:type="dxa" w:w="10080"/>
            <w:shd w:fill="EAF1F5"/>
            <w:tcMar>
              <w:top w:w="130" w:type="dxa"/>
              <w:start w:w="160" w:type="dxa"/>
              <w:bottom w:w="130" w:type="dxa"/>
              <w:end w:w="160" w:type="dxa"/>
            </w:tcMar>
          </w:tcPr>
          <w:p>
            <w:pPr>
              <w:spacing w:after="0"/>
            </w:pPr>
            <w:r>
              <w:rPr>
                <w:b/>
                <w:color w:val="17324D"/>
              </w:rPr>
              <w:t xml:space="preserve">Conclusion  The reviewed evidence supports using benchmarks to compare systems on closely matched, bounded tasks. There is limited direct evidence establishing how well conventional aggregate benchmark scores predict dependable performance across real professional workflows. Our inference is that task and system match should guide interpretation. The reviewed studies do not establish a general relationship between degree of match and predictive accuracy.</w:t>
            </w:r>
            <w:r/>
          </w:p>
        </w:tc>
      </w:tr>
    </w:tbl>
    <w:p>
      <w:pPr>
        <w:spacing w:after="0"/>
      </w:pPr>
    </w:p>
    <w:p>
      <w:r>
        <w:t>This is not a finding that benchmarks are useless. It is a finding about the scope of the inference. A benchmark can validly measure its sampled construct and still be a poor proxy for a job. It can also be useful for model selection without being calibrated to an operational failure rate. The available literature supports benchmark use as a conditional signal, not as a general warranty of professional performance.</w:t>
      </w:r>
      <w:r>
        <w:rPr>
          <w:color w:val="2F5D7C"/>
          <w:vertAlign w:val="superscript"/>
        </w:rPr>
        <w:t xml:space="preserve"> [8]</w:t>
      </w:r>
      <w:r>
        <w:rPr>
          <w:color w:val="2F5D7C"/>
          <w:vertAlign w:val="superscript"/>
        </w:rPr>
        <w:t xml:space="preserve"> [9]</w:t>
      </w:r>
      <w:r>
        <w:rPr>
          <w:color w:val="2F5D7C"/>
          <w:vertAlign w:val="superscript"/>
        </w:rPr>
        <w:t xml:space="preserve"> [12]</w:t>
      </w:r>
      <w:r>
        <w:rPr>
          <w:color w:val="2F5D7C"/>
          <w:vertAlign w:val="superscript"/>
        </w:rPr>
        <w:t xml:space="preserve"> [13]</w:t>
      </w:r>
    </w:p>
    <w:p>
      <w:r>
        <w:t>The strongest positive evidence comes from evaluations that reproduce parts of professional work: expert-authored occupational deliverables, paid software tasks, commissioned freelance projects, and long-horizon professional workspaces. These evaluations discriminate among systems and expose task-specific strengths. Yet they also show that task definition, grading threshold, tools, prompts, scaffolding, and workflow scope materially change results.</w:t>
      </w:r>
      <w:r>
        <w:rPr>
          <w:color w:val="2F5D7C"/>
          <w:vertAlign w:val="superscript"/>
        </w:rPr>
        <w:t xml:space="preserve"> [1]</w:t>
      </w:r>
      <w:r>
        <w:rPr>
          <w:color w:val="2F5D7C"/>
          <w:vertAlign w:val="superscript"/>
        </w:rPr>
        <w:t xml:space="preserve"> [2]</w:t>
      </w:r>
      <w:r>
        <w:rPr>
          <w:color w:val="2F5D7C"/>
          <w:vertAlign w:val="superscript"/>
        </w:rPr>
        <w:t xml:space="preserve"> [3]</w:t>
      </w:r>
      <w:r>
        <w:rPr>
          <w:color w:val="2F5D7C"/>
          <w:vertAlign w:val="superscript"/>
        </w:rPr>
        <w:t xml:space="preserve"> [20]</w:t>
      </w:r>
    </w:p>
    <w:p>
      <w:r>
        <w:t xml:space="preserve">The strongest negative evidence is not a single failed benchmark. It is the repeated gap between average or one-shot capability and repeated, workflow-level dependability. In tau-bench, GPT-4o achieved about 61% pass-at-one on retail tasks but about 25% pass^8, the probability of succeeding on all eight repeated trials. A 2026 study of 15 agentic models (arXiv v3) on tau-bench and GAIA found only small overall reliability gains despite substantial capability gains, though the relationship varied by environment and the study was limited to two benchmarks and one scaffold per benchmark. [7] [8]</w:t>
      </w:r>
      <w:r>
        <w:rPr>
          <w:color w:val="2F5D7C"/>
          <w:vertAlign w:val="superscript"/>
        </w:rPr>
      </w:r>
      <w:r>
        <w:rPr>
          <w:color w:val="2F5D7C"/>
          <w:vertAlign w:val="superscript"/>
        </w:rPr>
      </w:r>
    </w:p>
    <w:p>
      <w:pPr>
        <w:pStyle w:val="Heading2"/>
      </w:pPr>
      <w:r>
        <w:t xml:space="preserve">Proposed assessment for clients</w:t>
      </w:r>
    </w:p>
    <w:p>
      <w:r>
        <w:t xml:space="preserve">Diagnostic Research proposes six dimensions for assessing transfer from a benchmark to a client workflow. This is analytical guidance, not a validated rule or certification:</w:t>
      </w:r>
    </w:p>
    <w:p>
      <w:pPr>
        <w:pStyle w:val="DRBullet"/>
      </w:pPr>
      <w:r>
        <w:t>Task match — the sampled tasks resemble the organization’s actual work distribution, including mundane and messy cases.</w:t>
      </w:r>
    </w:p>
    <w:p>
      <w:pPr>
        <w:pStyle w:val="DRBullet"/>
      </w:pPr>
      <w:r>
        <w:t>Success match — scoring reflects the client’s acceptance threshold, not merely partial correctness or preference.</w:t>
      </w:r>
    </w:p>
    <w:p>
      <w:pPr>
        <w:pStyle w:val="DRBullet"/>
      </w:pPr>
      <w:r>
        <w:t>System match — the evaluated model, tools, prompt, permissions, and scaffold are the deployed configuration.</w:t>
      </w:r>
    </w:p>
    <w:p>
      <w:pPr>
        <w:pStyle w:val="DRBullet"/>
      </w:pPr>
      <w:r>
        <w:t>Workflow match — context gathering, iteration, review, interpersonal coordination, and integration are represented or explicitly excluded.</w:t>
      </w:r>
    </w:p>
    <w:p>
      <w:pPr>
        <w:pStyle w:val="DRBullet"/>
      </w:pPr>
      <w:r>
        <w:t>Reliability match — repeated trials, perturbations, calibration, and consequential failure modes are measured.</w:t>
      </w:r>
    </w:p>
    <w:p>
      <w:pPr>
        <w:pStyle w:val="DRBullet"/>
      </w:pPr>
      <w:r>
        <w:t xml:space="preserve">Time match — contamination risk is assessed, source and system versions are recorded, and material changes are identified.</w:t>
      </w:r>
    </w:p>
    <w:p>
      <w:r>
        <w:t xml:space="preserve">Record partial matches and exclusions. Where material mismatches remain, treat the score as a hypothesis for local testing. Design a prospective evaluation with representative work and predeclared acceptance criteria; the required evidence depends on consequences and oversight.</w:t>
      </w:r>
    </w:p>
    <w:p>
      <w:pPr>
        <w:pStyle w:val="Heading2"/>
      </w:pPr>
      <w:r>
        <w:t>Confidence assessment</w:t>
      </w:r>
    </w:p>
    <w:tbl>
      <w:tblPr>
        <w:tblStyle w:val="TableGrid"/>
        <w:tblW w:type="auto" w:w="0"/>
        <w:jc w:val="center"/>
        <w:tblLook w:firstColumn="1" w:firstRow="1" w:lastColumn="0" w:lastRow="0" w:noHBand="0" w:noVBand="1" w:val="04A0"/>
      </w:tblPr>
      <w:tblGrid>
        <w:gridCol w:w="3360"/>
        <w:gridCol w:w="3360"/>
        <w:gridCol w:w="3360"/>
      </w:tblGrid>
      <w:tr>
        <w:trPr>
          <w:tblHeader w:val="true"/>
          <w:cantSplit/>
        </w:trPr>
        <w:tc>
          <w:tcPr>
            <w:tcW w:type="dxa" w:w="3744"/>
            <w:shd w:fill="17324D"/>
            <w:vAlign w:val="center"/>
          </w:tcPr>
          <w:p>
            <w:r>
              <w:rPr>
                <w:b/>
                <w:color w:val="FFFFFF"/>
                <w:sz w:val="16"/>
              </w:rPr>
              <w:t>Finding</w:t>
            </w:r>
          </w:p>
        </w:tc>
        <w:tc>
          <w:tcPr>
            <w:tcW w:type="dxa" w:w="4896"/>
            <w:shd w:fill="17324D"/>
            <w:vAlign w:val="center"/>
          </w:tcPr>
          <w:p>
            <w:r>
              <w:rPr>
                <w:b/>
                <w:color w:val="FFFFFF"/>
                <w:sz w:val="16"/>
              </w:rPr>
              <w:t>Assessment</w:t>
            </w:r>
          </w:p>
        </w:tc>
        <w:tc>
          <w:tcPr>
            <w:tcW w:type="dxa" w:w="1440"/>
            <w:shd w:fill="17324D"/>
            <w:vAlign w:val="center"/>
          </w:tcPr>
          <w:p>
            <w:r>
              <w:rPr>
                <w:b/>
                <w:color w:val="FFFFFF"/>
                <w:sz w:val="16"/>
              </w:rPr>
              <w:t>Confidence</w:t>
            </w:r>
          </w:p>
        </w:tc>
      </w:tr>
      <w:tr>
        <w:tc>
          <w:tcPr>
            <w:tcW w:type="dxa" w:w="3744"/>
            <w:tcMar>
              <w:top w:w="80" w:type="dxa"/>
              <w:start w:w="100" w:type="dxa"/>
              <w:bottom w:w="80" w:type="dxa"/>
              <w:end w:w="100" w:type="dxa"/>
            </w:tcMar>
            <w:vAlign w:val="top"/>
          </w:tcPr>
          <w:p>
            <w:pPr>
              <w:spacing w:after="20"/>
            </w:pPr>
            <w:r>
              <w:rPr>
                <w:sz w:val="16"/>
              </w:rPr>
              <w:t>Benchmarks can rank systems for a closely matched task distribution.</w:t>
            </w:r>
          </w:p>
        </w:tc>
        <w:tc>
          <w:tcPr>
            <w:tcW w:type="dxa" w:w="4896"/>
            <w:tcMar>
              <w:top w:w="80" w:type="dxa"/>
              <w:start w:w="100" w:type="dxa"/>
              <w:bottom w:w="80" w:type="dxa"/>
              <w:end w:w="100" w:type="dxa"/>
            </w:tcMar>
            <w:vAlign w:val="top"/>
          </w:tcPr>
          <w:p>
            <w:pPr>
              <w:spacing w:after="20"/>
            </w:pPr>
            <w:r>
              <w:rPr>
                <w:sz w:val="16"/>
              </w:rPr>
              <w:t>Supported, with sensitivity to wording, sampling, and scaffold.</w:t>
            </w:r>
          </w:p>
        </w:tc>
        <w:tc>
          <w:tcPr>
            <w:tcW w:type="dxa" w:w="1440"/>
            <w:tcMar>
              <w:top w:w="80" w:type="dxa"/>
              <w:start w:w="100" w:type="dxa"/>
              <w:bottom w:w="80" w:type="dxa"/>
              <w:end w:w="100" w:type="dxa"/>
            </w:tcMar>
            <w:vAlign w:val="top"/>
          </w:tcPr>
          <w:p>
            <w:pPr>
              <w:spacing w:after="20"/>
            </w:pPr>
            <w:r>
              <w:rPr>
                <w:sz w:val="16"/>
              </w:rPr>
              <w:t>Moderate</w:t>
            </w:r>
          </w:p>
        </w:tc>
        <w:trPr>
          <w:cantSplit/>
        </w:trPr>
      </w:tr>
      <w:tr>
        <w:tc>
          <w:tcPr>
            <w:tcW w:type="dxa" w:w="3744"/>
            <w:tcMar>
              <w:top w:w="80" w:type="dxa"/>
              <w:start w:w="100" w:type="dxa"/>
              <w:bottom w:w="80" w:type="dxa"/>
              <w:end w:w="100" w:type="dxa"/>
            </w:tcMar>
            <w:vAlign w:val="top"/>
            <w:shd w:fill="F4F6F8"/>
          </w:tcPr>
          <w:p>
            <w:pPr>
              <w:spacing w:after="20"/>
            </w:pPr>
            <w:r>
              <w:rPr>
                <w:sz w:val="16"/>
              </w:rPr>
              <w:t>General benchmark scores calibrate professional reliability.</w:t>
            </w:r>
          </w:p>
        </w:tc>
        <w:tc>
          <w:tcPr>
            <w:tcW w:type="dxa" w:w="4896"/>
            <w:tcMar>
              <w:top w:w="80" w:type="dxa"/>
              <w:start w:w="100" w:type="dxa"/>
              <w:bottom w:w="80" w:type="dxa"/>
              <w:end w:w="100" w:type="dxa"/>
            </w:tcMar>
            <w:vAlign w:val="top"/>
            <w:shd w:fill="F4F6F8"/>
          </w:tcPr>
          <w:p>
            <w:pPr>
              <w:spacing w:after="20"/>
            </w:pPr>
            <w:r>
              <w:rPr>
                <w:sz w:val="16"/>
              </w:rPr>
              <w:t>Not established by the reviewed evidence.</w:t>
            </w:r>
          </w:p>
        </w:tc>
        <w:tc>
          <w:tcPr>
            <w:tcW w:type="dxa" w:w="1440"/>
            <w:tcMar>
              <w:top w:w="80" w:type="dxa"/>
              <w:start w:w="100" w:type="dxa"/>
              <w:bottom w:w="80" w:type="dxa"/>
              <w:end w:w="100" w:type="dxa"/>
            </w:tcMar>
            <w:vAlign w:val="top"/>
            <w:shd w:fill="F4F6F8"/>
          </w:tcPr>
          <w:p>
            <w:pPr>
              <w:spacing w:after="20"/>
            </w:pPr>
            <w:r>
              <w:rPr>
                <w:sz w:val="16"/>
              </w:rPr>
              <w:t xml:space="preserve">Moderate confidence in this bounded search finding</w:t>
            </w:r>
          </w:p>
        </w:tc>
        <w:trPr>
          <w:cantSplit/>
        </w:trPr>
      </w:tr>
      <w:tr>
        <w:tc>
          <w:tcPr>
            <w:tcW w:type="dxa" w:w="3744"/>
            <w:tcMar>
              <w:top w:w="80" w:type="dxa"/>
              <w:start w:w="100" w:type="dxa"/>
              <w:bottom w:w="80" w:type="dxa"/>
              <w:end w:w="100" w:type="dxa"/>
            </w:tcMar>
            <w:vAlign w:val="top"/>
          </w:tcPr>
          <w:p>
            <w:pPr>
              <w:spacing w:after="20"/>
            </w:pPr>
            <w:r>
              <w:rPr>
                <w:sz w:val="16"/>
              </w:rPr>
              <w:t>More ecologically valid benchmarks improve decision relevance.</w:t>
            </w:r>
          </w:p>
        </w:tc>
        <w:tc>
          <w:tcPr>
            <w:tcW w:type="dxa" w:w="4896"/>
            <w:tcMar>
              <w:top w:w="80" w:type="dxa"/>
              <w:start w:w="100" w:type="dxa"/>
              <w:bottom w:w="80" w:type="dxa"/>
              <w:end w:w="100" w:type="dxa"/>
            </w:tcMar>
            <w:vAlign w:val="top"/>
          </w:tcPr>
          <w:p>
            <w:pPr>
              <w:spacing w:after="20"/>
            </w:pPr>
            <w:r>
              <w:rPr>
                <w:sz w:val="16"/>
              </w:rPr>
              <w:t>Supported conceptually and by observed failure-mode differences.</w:t>
            </w:r>
          </w:p>
        </w:tc>
        <w:tc>
          <w:tcPr>
            <w:tcW w:type="dxa" w:w="1440"/>
            <w:tcMar>
              <w:top w:w="80" w:type="dxa"/>
              <w:start w:w="100" w:type="dxa"/>
              <w:bottom w:w="80" w:type="dxa"/>
              <w:end w:w="100" w:type="dxa"/>
            </w:tcMar>
            <w:vAlign w:val="top"/>
          </w:tcPr>
          <w:p>
            <w:pPr>
              <w:spacing w:after="20"/>
            </w:pPr>
            <w:r>
              <w:rPr>
                <w:sz w:val="16"/>
              </w:rPr>
              <w:t>Moderate–high</w:t>
            </w:r>
          </w:p>
        </w:tc>
        <w:trPr>
          <w:cantSplit/>
        </w:trPr>
      </w:tr>
      <w:tr>
        <w:tc>
          <w:tcPr>
            <w:tcW w:type="dxa" w:w="3744"/>
            <w:tcMar>
              <w:top w:w="80" w:type="dxa"/>
              <w:start w:w="100" w:type="dxa"/>
              <w:bottom w:w="80" w:type="dxa"/>
              <w:end w:w="100" w:type="dxa"/>
            </w:tcMar>
            <w:vAlign w:val="top"/>
            <w:shd w:fill="F4F6F8"/>
          </w:tcPr>
          <w:p>
            <w:pPr>
              <w:spacing w:after="20"/>
            </w:pPr>
            <w:r>
              <w:rPr>
                <w:sz w:val="16"/>
              </w:rPr>
              <w:t xml:space="preserve">AI assistance never improves real work.</w:t>
            </w:r>
          </w:p>
        </w:tc>
        <w:tc>
          <w:tcPr>
            <w:tcW w:type="dxa" w:w="4896"/>
            <w:tcMar>
              <w:top w:w="80" w:type="dxa"/>
              <w:start w:w="100" w:type="dxa"/>
              <w:bottom w:w="80" w:type="dxa"/>
              <w:end w:w="100" w:type="dxa"/>
            </w:tcMar>
            <w:vAlign w:val="top"/>
            <w:shd w:fill="F4F6F8"/>
          </w:tcPr>
          <w:p>
            <w:pPr>
              <w:spacing w:after="20"/>
            </w:pPr>
            <w:r>
              <w:rPr>
                <w:sz w:val="16"/>
              </w:rPr>
              <w:t>Contradicted by field and controlled studies showing gains in some settings.</w:t>
            </w:r>
          </w:p>
        </w:tc>
        <w:tc>
          <w:tcPr>
            <w:tcW w:type="dxa" w:w="1440"/>
            <w:tcMar>
              <w:top w:w="80" w:type="dxa"/>
              <w:start w:w="100" w:type="dxa"/>
              <w:bottom w:w="80" w:type="dxa"/>
              <w:end w:w="100" w:type="dxa"/>
            </w:tcMar>
            <w:vAlign w:val="top"/>
            <w:shd w:fill="F4F6F8"/>
          </w:tcPr>
          <w:p>
            <w:pPr>
              <w:spacing w:after="20"/>
            </w:pPr>
            <w:r>
              <w:rPr>
                <w:sz w:val="16"/>
              </w:rPr>
              <w:t>High</w:t>
            </w:r>
          </w:p>
        </w:tc>
        <w:trPr>
          <w:cantSplit/>
        </w:trPr>
      </w:tr>
      <w:tr>
        <w:tc>
          <w:tcPr>
            <w:tcW w:type="dxa" w:w="3744"/>
            <w:tcMar>
              <w:top w:w="80" w:type="dxa"/>
              <w:start w:w="100" w:type="dxa"/>
              <w:bottom w:w="80" w:type="dxa"/>
              <w:end w:w="100" w:type="dxa"/>
            </w:tcMar>
            <w:vAlign w:val="top"/>
          </w:tcPr>
          <w:p>
            <w:pPr>
              <w:spacing w:after="20"/>
            </w:pPr>
            <w:r>
              <w:rPr>
                <w:sz w:val="16"/>
              </w:rPr>
              <w:t>A single numeric score captures deployment readiness.</w:t>
            </w:r>
          </w:p>
        </w:tc>
        <w:tc>
          <w:tcPr>
            <w:tcW w:type="dxa" w:w="4896"/>
            <w:tcMar>
              <w:top w:w="80" w:type="dxa"/>
              <w:start w:w="100" w:type="dxa"/>
              <w:bottom w:w="80" w:type="dxa"/>
              <w:end w:w="100" w:type="dxa"/>
            </w:tcMar>
            <w:vAlign w:val="top"/>
          </w:tcPr>
          <w:p>
            <w:pPr>
              <w:spacing w:after="20"/>
            </w:pPr>
            <w:r>
              <w:rPr>
                <w:sz w:val="16"/>
              </w:rPr>
              <w:t>Contradicted by repeated-run, robustness, and workflow evidence.</w:t>
            </w:r>
          </w:p>
        </w:tc>
        <w:tc>
          <w:tcPr>
            <w:tcW w:type="dxa" w:w="1440"/>
            <w:tcMar>
              <w:top w:w="80" w:type="dxa"/>
              <w:start w:w="100" w:type="dxa"/>
              <w:bottom w:w="80" w:type="dxa"/>
              <w:end w:w="100" w:type="dxa"/>
            </w:tcMar>
            <w:vAlign w:val="top"/>
          </w:tcPr>
          <w:p>
            <w:pPr>
              <w:spacing w:after="20"/>
            </w:pPr>
            <w:r>
              <w:rPr>
                <w:sz w:val="16"/>
              </w:rPr>
              <w:t>High</w:t>
            </w:r>
          </w:p>
        </w:tc>
        <w:trPr>
          <w:cantSplit/>
        </w:trPr>
      </w:tr>
    </w:tbl>
    <w:p>
      <w:pPr>
        <w:spacing w:after="0"/>
      </w:pPr>
    </w:p>
    <w:p>
      <w:pPr>
        <w:pStyle w:val="Heading1"/>
      </w:pPr>
      <w:r>
        <w:t>Scope and Analytical Framework</w:t>
      </w:r>
    </w:p>
    <w:p>
      <w:pPr>
        <w:pStyle w:val="Heading2"/>
      </w:pPr>
      <w:r>
        <w:t>What was tested</w:t>
      </w:r>
    </w:p>
    <w:p>
      <w:r>
        <w:t>The proposition was decomposed into three questions. First, construct validity: does the benchmark measure what its authors say it measures? Second, decision usefulness: does it help compare systems for a bounded use? Third, predictive validity: does the score forecast acceptable, repeated performance under the operating conditions of professional work? These questions are related but not interchangeable.</w:t>
      </w:r>
    </w:p>
    <w:p>
      <w:r>
        <w:t>“Professional task” is used here to mean work with an economic or fiduciary quality bar, often involving prior context, tools, files, iteration, coordination, and consequences. “Reliable” means more than average task success: outcomes should be repeatable, robust to immaterial changes and routine faults, predictable enough to support escalation, and safe enough for the application.</w:t>
      </w:r>
      <w:r>
        <w:rPr>
          <w:color w:val="2F5D7C"/>
          <w:vertAlign w:val="superscript"/>
        </w:rPr>
        <w:t xml:space="preserve"> [7]</w:t>
      </w:r>
      <w:r>
        <w:rPr>
          <w:color w:val="2F5D7C"/>
          <w:vertAlign w:val="superscript"/>
        </w:rPr>
        <w:t xml:space="preserve"> [8]</w:t>
      </w:r>
    </w:p>
    <w:p>
      <w:pPr>
        <w:pStyle w:val="Heading2"/>
      </w:pPr>
      <w:r>
        <w:t>Evidence ladder</w:t>
      </w:r>
    </w:p>
    <w:tbl>
      <w:tblPr>
        <w:tblStyle w:val="TableGrid"/>
        <w:tblW w:type="auto" w:w="0"/>
        <w:jc w:val="center"/>
        <w:tblLook w:firstColumn="1" w:firstRow="1" w:lastColumn="0" w:lastRow="0" w:noHBand="0" w:noVBand="1" w:val="04A0"/>
      </w:tblPr>
      <w:tblGrid>
        <w:gridCol w:w="3360"/>
        <w:gridCol w:w="3360"/>
        <w:gridCol w:w="3360"/>
      </w:tblGrid>
      <w:tr>
        <w:trPr>
          <w:tblHeader w:val="true"/>
          <w:cantSplit/>
        </w:trPr>
        <w:tc>
          <w:tcPr>
            <w:tcW w:type="dxa" w:w="2448"/>
            <w:shd w:fill="17324D"/>
            <w:vAlign w:val="center"/>
          </w:tcPr>
          <w:p>
            <w:r>
              <w:rPr>
                <w:b/>
                <w:color w:val="FFFFFF"/>
                <w:sz w:val="16"/>
              </w:rPr>
              <w:t>Evidence family</w:t>
            </w:r>
          </w:p>
        </w:tc>
        <w:tc>
          <w:tcPr>
            <w:tcW w:type="dxa" w:w="5616"/>
            <w:shd w:fill="17324D"/>
            <w:vAlign w:val="center"/>
          </w:tcPr>
          <w:p>
            <w:r>
              <w:rPr>
                <w:b/>
                <w:color w:val="FFFFFF"/>
                <w:sz w:val="16"/>
              </w:rPr>
              <w:t>What it establishes directly</w:t>
            </w:r>
          </w:p>
        </w:tc>
        <w:tc>
          <w:tcPr>
            <w:tcW w:type="dxa" w:w="2016"/>
            <w:shd w:fill="17324D"/>
            <w:vAlign w:val="center"/>
          </w:tcPr>
          <w:p>
            <w:r>
              <w:rPr>
                <w:b/>
                <w:color w:val="FFFFFF"/>
                <w:sz w:val="16"/>
              </w:rPr>
              <w:t>Transfer risk</w:t>
            </w:r>
          </w:p>
        </w:tc>
      </w:tr>
      <w:tr>
        <w:tc>
          <w:tcPr>
            <w:tcW w:type="dxa" w:w="2448"/>
            <w:tcMar>
              <w:top w:w="80" w:type="dxa"/>
              <w:start w:w="100" w:type="dxa"/>
              <w:bottom w:w="80" w:type="dxa"/>
              <w:end w:w="100" w:type="dxa"/>
            </w:tcMar>
            <w:vAlign w:val="top"/>
          </w:tcPr>
          <w:p>
            <w:pPr>
              <w:spacing w:after="20"/>
            </w:pPr>
            <w:r>
              <w:rPr>
                <w:sz w:val="16"/>
              </w:rPr>
              <w:t>Static knowledge and reasoning tests</w:t>
            </w:r>
          </w:p>
        </w:tc>
        <w:tc>
          <w:tcPr>
            <w:tcW w:type="dxa" w:w="5616"/>
            <w:tcMar>
              <w:top w:w="80" w:type="dxa"/>
              <w:start w:w="100" w:type="dxa"/>
              <w:bottom w:w="80" w:type="dxa"/>
              <w:end w:w="100" w:type="dxa"/>
            </w:tcMar>
            <w:vAlign w:val="top"/>
          </w:tcPr>
          <w:p>
            <w:pPr>
              <w:spacing w:after="20"/>
            </w:pPr>
            <w:r>
              <w:rPr>
                <w:sz w:val="16"/>
              </w:rPr>
              <w:t>Performance on sampled questions under a fixed format</w:t>
            </w:r>
          </w:p>
        </w:tc>
        <w:tc>
          <w:tcPr>
            <w:tcW w:type="dxa" w:w="2016"/>
            <w:tcMar>
              <w:top w:w="80" w:type="dxa"/>
              <w:start w:w="100" w:type="dxa"/>
              <w:bottom w:w="80" w:type="dxa"/>
              <w:end w:w="100" w:type="dxa"/>
            </w:tcMar>
            <w:vAlign w:val="top"/>
          </w:tcPr>
          <w:p>
            <w:pPr>
              <w:spacing w:after="20"/>
            </w:pPr>
            <w:r>
              <w:rPr>
                <w:sz w:val="16"/>
              </w:rPr>
              <w:t>High to workflows</w:t>
            </w:r>
          </w:p>
        </w:tc>
        <w:trPr>
          <w:cantSplit/>
        </w:trPr>
      </w:tr>
      <w:tr>
        <w:tc>
          <w:tcPr>
            <w:tcW w:type="dxa" w:w="2448"/>
            <w:tcMar>
              <w:top w:w="80" w:type="dxa"/>
              <w:start w:w="100" w:type="dxa"/>
              <w:bottom w:w="80" w:type="dxa"/>
              <w:end w:w="100" w:type="dxa"/>
            </w:tcMar>
            <w:vAlign w:val="top"/>
            <w:shd w:fill="F4F6F8"/>
          </w:tcPr>
          <w:p>
            <w:pPr>
              <w:spacing w:after="20"/>
            </w:pPr>
            <w:r>
              <w:rPr>
                <w:sz w:val="16"/>
              </w:rPr>
              <w:t>Tool and agent simulations</w:t>
            </w:r>
          </w:p>
        </w:tc>
        <w:tc>
          <w:tcPr>
            <w:tcW w:type="dxa" w:w="5616"/>
            <w:tcMar>
              <w:top w:w="80" w:type="dxa"/>
              <w:start w:w="100" w:type="dxa"/>
              <w:bottom w:w="80" w:type="dxa"/>
              <w:end w:w="100" w:type="dxa"/>
            </w:tcMar>
            <w:vAlign w:val="top"/>
            <w:shd w:fill="F4F6F8"/>
          </w:tcPr>
          <w:p>
            <w:pPr>
              <w:spacing w:after="20"/>
            </w:pPr>
            <w:r>
              <w:rPr>
                <w:sz w:val="16"/>
              </w:rPr>
              <w:t>Performance in a specified synthetic environment</w:t>
            </w:r>
          </w:p>
        </w:tc>
        <w:tc>
          <w:tcPr>
            <w:tcW w:type="dxa" w:w="2016"/>
            <w:tcMar>
              <w:top w:w="80" w:type="dxa"/>
              <w:start w:w="100" w:type="dxa"/>
              <w:bottom w:w="80" w:type="dxa"/>
              <w:end w:w="100" w:type="dxa"/>
            </w:tcMar>
            <w:vAlign w:val="top"/>
            <w:shd w:fill="F4F6F8"/>
          </w:tcPr>
          <w:p>
            <w:pPr>
              <w:spacing w:after="20"/>
            </w:pPr>
            <w:r>
              <w:rPr>
                <w:sz w:val="16"/>
              </w:rPr>
              <w:t>Moderate–high</w:t>
            </w:r>
          </w:p>
        </w:tc>
        <w:trPr>
          <w:cantSplit/>
        </w:trPr>
      </w:tr>
      <w:tr>
        <w:tc>
          <w:tcPr>
            <w:tcW w:type="dxa" w:w="2448"/>
            <w:tcMar>
              <w:top w:w="80" w:type="dxa"/>
              <w:start w:w="100" w:type="dxa"/>
              <w:bottom w:w="80" w:type="dxa"/>
              <w:end w:w="100" w:type="dxa"/>
            </w:tcMar>
            <w:vAlign w:val="top"/>
          </w:tcPr>
          <w:p>
            <w:pPr>
              <w:spacing w:after="20"/>
            </w:pPr>
            <w:r>
              <w:rPr>
                <w:sz w:val="16"/>
              </w:rPr>
              <w:t>Repository or occupational task benchmarks</w:t>
            </w:r>
          </w:p>
        </w:tc>
        <w:tc>
          <w:tcPr>
            <w:tcW w:type="dxa" w:w="5616"/>
            <w:tcMar>
              <w:top w:w="80" w:type="dxa"/>
              <w:start w:w="100" w:type="dxa"/>
              <w:bottom w:w="80" w:type="dxa"/>
              <w:end w:w="100" w:type="dxa"/>
            </w:tcMar>
            <w:vAlign w:val="top"/>
          </w:tcPr>
          <w:p>
            <w:pPr>
              <w:spacing w:after="20"/>
            </w:pPr>
            <w:r>
              <w:rPr>
                <w:sz w:val="16"/>
              </w:rPr>
              <w:t>Output/task performance on sampled professional-like work</w:t>
            </w:r>
          </w:p>
        </w:tc>
        <w:tc>
          <w:tcPr>
            <w:tcW w:type="dxa" w:w="2016"/>
            <w:tcMar>
              <w:top w:w="80" w:type="dxa"/>
              <w:start w:w="100" w:type="dxa"/>
              <w:bottom w:w="80" w:type="dxa"/>
              <w:end w:w="100" w:type="dxa"/>
            </w:tcMar>
            <w:vAlign w:val="top"/>
          </w:tcPr>
          <w:p>
            <w:pPr>
              <w:spacing w:after="20"/>
            </w:pPr>
            <w:r>
              <w:rPr>
                <w:sz w:val="16"/>
              </w:rPr>
              <w:t>Moderate</w:t>
            </w:r>
          </w:p>
        </w:tc>
        <w:trPr>
          <w:cantSplit/>
        </w:trPr>
      </w:tr>
      <w:tr>
        <w:tc>
          <w:tcPr>
            <w:tcW w:type="dxa" w:w="2448"/>
            <w:tcMar>
              <w:top w:w="80" w:type="dxa"/>
              <w:start w:w="100" w:type="dxa"/>
              <w:bottom w:w="80" w:type="dxa"/>
              <w:end w:w="100" w:type="dxa"/>
            </w:tcMar>
            <w:vAlign w:val="top"/>
            <w:shd w:fill="F4F6F8"/>
          </w:tcPr>
          <w:p>
            <w:pPr>
              <w:spacing w:after="20"/>
            </w:pPr>
            <w:r>
              <w:rPr>
                <w:sz w:val="16"/>
              </w:rPr>
              <w:t>Commissioned project benchmarks</w:t>
            </w:r>
          </w:p>
        </w:tc>
        <w:tc>
          <w:tcPr>
            <w:tcW w:type="dxa" w:w="5616"/>
            <w:tcMar>
              <w:top w:w="80" w:type="dxa"/>
              <w:start w:w="100" w:type="dxa"/>
              <w:bottom w:w="80" w:type="dxa"/>
              <w:end w:w="100" w:type="dxa"/>
            </w:tcMar>
            <w:vAlign w:val="top"/>
            <w:shd w:fill="F4F6F8"/>
          </w:tcPr>
          <w:p>
            <w:pPr>
              <w:spacing w:after="20"/>
            </w:pPr>
            <w:r>
              <w:rPr>
                <w:sz w:val="16"/>
              </w:rPr>
              <w:t>Autonomous delivery against a professional quality bar</w:t>
            </w:r>
          </w:p>
        </w:tc>
        <w:tc>
          <w:tcPr>
            <w:tcW w:type="dxa" w:w="2016"/>
            <w:tcMar>
              <w:top w:w="80" w:type="dxa"/>
              <w:start w:w="100" w:type="dxa"/>
              <w:bottom w:w="80" w:type="dxa"/>
              <w:end w:w="100" w:type="dxa"/>
            </w:tcMar>
            <w:vAlign w:val="top"/>
            <w:shd w:fill="F4F6F8"/>
          </w:tcPr>
          <w:p>
            <w:pPr>
              <w:spacing w:after="20"/>
            </w:pPr>
            <w:r>
              <w:rPr>
                <w:sz w:val="16"/>
              </w:rPr>
              <w:t>Lower, but still benchmark-bound</w:t>
            </w:r>
          </w:p>
        </w:tc>
        <w:trPr>
          <w:cantSplit/>
        </w:trPr>
      </w:tr>
      <w:tr>
        <w:tc>
          <w:tcPr>
            <w:tcW w:type="dxa" w:w="2448"/>
            <w:tcMar>
              <w:top w:w="80" w:type="dxa"/>
              <w:start w:w="100" w:type="dxa"/>
              <w:bottom w:w="80" w:type="dxa"/>
              <w:end w:w="100" w:type="dxa"/>
            </w:tcMar>
            <w:vAlign w:val="top"/>
          </w:tcPr>
          <w:p>
            <w:pPr>
              <w:spacing w:after="20"/>
            </w:pPr>
            <w:r>
              <w:rPr>
                <w:sz w:val="16"/>
              </w:rPr>
              <w:t>Prospective field or randomized studies</w:t>
            </w:r>
          </w:p>
        </w:tc>
        <w:tc>
          <w:tcPr>
            <w:tcW w:type="dxa" w:w="5616"/>
            <w:tcMar>
              <w:top w:w="80" w:type="dxa"/>
              <w:start w:w="100" w:type="dxa"/>
              <w:bottom w:w="80" w:type="dxa"/>
              <w:end w:w="100" w:type="dxa"/>
            </w:tcMar>
            <w:vAlign w:val="top"/>
          </w:tcPr>
          <w:p>
            <w:pPr>
              <w:spacing w:after="20"/>
            </w:pPr>
            <w:r>
              <w:rPr>
                <w:sz w:val="16"/>
              </w:rPr>
              <w:t xml:space="preserve">Effects in the studied setting; causal interpretation where the design and its assumptions support it</w:t>
            </w:r>
          </w:p>
        </w:tc>
        <w:tc>
          <w:tcPr>
            <w:tcW w:type="dxa" w:w="2016"/>
            <w:tcMar>
              <w:top w:w="80" w:type="dxa"/>
              <w:start w:w="100" w:type="dxa"/>
              <w:bottom w:w="80" w:type="dxa"/>
              <w:end w:w="100" w:type="dxa"/>
            </w:tcMar>
            <w:vAlign w:val="top"/>
          </w:tcPr>
          <w:p>
            <w:pPr>
              <w:spacing w:after="20"/>
            </w:pPr>
            <w:r>
              <w:rPr>
                <w:sz w:val="16"/>
              </w:rPr>
              <w:t>Lowest locally; external validity still limited</w:t>
            </w:r>
          </w:p>
        </w:tc>
        <w:trPr>
          <w:cantSplit/>
        </w:trPr>
      </w:tr>
    </w:tbl>
    <w:p>
      <w:pPr>
        <w:spacing w:after="0"/>
      </w:pPr>
    </w:p>
    <w:p>
      <w:r>
        <w:t>The hierarchy is not a claim that field studies are automatically superior. Benchmarks usually offer better control, repeatability, and diagnostic coverage. Field studies offer stronger local realism but may have selection, adoption, measurement, and rapid-obsolescence problems. The relevant question is which design supports the inference being made.</w:t>
      </w:r>
    </w:p>
    <w:p>
      <w:pPr>
        <w:pStyle w:val="Heading1"/>
      </w:pPr>
      <w:r>
        <w:t>Evidence Synthesis</w:t>
      </w:r>
    </w:p>
    <w:p>
      <w:pPr>
        <w:pStyle w:val="Heading2"/>
      </w:pPr>
      <w:r>
        <w:t>Professional-task benchmarks increase realism but remain bounded</w:t>
      </w:r>
    </w:p>
    <w:p>
      <w:r>
        <w:t>GDPval is among the clearest attempts to measure professional output quality. Its full set contains 1,320 tasks across 44 occupations in nine sectors; the open gold set contains 220 tasks. Subject-matter experts averaged more than 14 years of experience. Models created realistic work products and expert graders made blinded pairwise comparisons using rubrics. On the gold set, Claude Opus 4.1 was reported to win or tie against expert-created deliverables in 47.6% of comparisons.</w:t>
      </w:r>
      <w:r>
        <w:rPr>
          <w:color w:val="2F5D7C"/>
          <w:vertAlign w:val="superscript"/>
        </w:rPr>
        <w:t xml:space="preserve"> [1]</w:t>
      </w:r>
    </w:p>
    <w:p>
      <w:r>
        <w:t>Directly established: high-quality model output on carefully specified, one-shot deliverables is now common enough to be economically relevant. Not established: that the same model would independently gather context, negotiate requirements, revise drafts, coordinate with colleagues, use proprietary systems, or maintain that performance repeatedly. GDPval explicitly excludes many of those activities. Its speed and cost comparisons also exclude oversight, iteration, and integration.</w:t>
      </w:r>
      <w:r>
        <w:rPr>
          <w:color w:val="2F5D7C"/>
          <w:vertAlign w:val="superscript"/>
        </w:rPr>
        <w:t xml:space="preserve"> [1]</w:t>
      </w:r>
    </w:p>
    <w:p>
      <w:r>
        <w:t>SWE-Lancer moves closer to real software work by using 1,488 paid Upwork tasks from the Expensify repository, with end-to-end tests for implementation tasks and proposal selection tasks for managers. It reveals a sharp transport problem: At the time of the SWE-Lancer study, its authors reported GPT-4o at 38.8% on SWE-bench Verified using the best available scaffold, compared with 8.0% on SWE-Lancer Diamond implementation tasks. The authors attribute part of the gap to SWE-bench’s emphasis on self-contained, testable bug fixes, while SWE-Lancer includes features, reliability work, and full-stack changes. [2]</w:t>
      </w:r>
      <w:r>
        <w:rPr>
          <w:color w:val="2F5D7C"/>
          <w:vertAlign w:val="superscript"/>
        </w:rPr>
      </w:r>
    </w:p>
    <w:p>
      <w:r>
        <w:t>This comparison is evidence that benchmark choice can dominate score magnitude even within software engineering. It is not a formal correlation study and does not prove that SWE-bench rankings never transfer. SWE-Lancer itself covers one codebase and a freelance task distribution that underrepresents infrastructure, team coordination, and zero-to-one development.</w:t>
      </w:r>
      <w:r>
        <w:rPr>
          <w:color w:val="2F5D7C"/>
          <w:vertAlign w:val="superscript"/>
        </w:rPr>
        <w:t xml:space="preserve"> [2]</w:t>
      </w:r>
    </w:p>
    <w:p>
      <w:r>
        <w:t>The Remote Labor Index goes further by evaluating complete commissioned freelance projects against human reference deliverables. In the 2025 paper, the best reported autonomous automation rate was 2.5%, despite partial-quality differences captured by an Elo-style comparison. This is evidence about the difficulty of whole-project autonomous delivery under that benchmark’s quality standard. It is not a census of remote work, and it excludes client interaction, teamwork, and project management.</w:t>
      </w:r>
      <w:r>
        <w:rPr>
          <w:color w:val="2F5D7C"/>
          <w:vertAlign w:val="superscript"/>
        </w:rPr>
        <w:t xml:space="preserve"> [3]</w:t>
      </w:r>
    </w:p>
    <w:p>
      <w:r>
        <w:t>APEX-Agents places systems in professional-service workspaces spanning investment banking, consulting, and corporate law. Its open-source task and environment design materially improves context and tool realism. The rapidly changing public leaderboard is also a warning: a benchmark can be operationally relevant and still be a moving snapshot of a particular model-plus-agent stack, not a durable estimate of job automation.</w:t>
      </w:r>
      <w:r>
        <w:rPr>
          <w:color w:val="2F5D7C"/>
          <w:vertAlign w:val="superscript"/>
        </w:rPr>
        <w:t xml:space="preserve"> [20]</w:t>
      </w:r>
    </w:p>
    <w:p>
      <w:pPr>
        <w:pStyle w:val="Heading2"/>
      </w:pPr>
      <w:r>
        <w:t>Reliability is not encoded in an average score</w:t>
      </w:r>
    </w:p>
    <w:p>
      <w:r>
        <w:t>The most direct evidence comes from repeated-trial evaluation. Tau-bench simulates retail and airline conversations in which an agent must follow policies and change database state through tools. Its pass^k metric asks whether every one of k trials succeeds. GPT-4o’s retail pass-at-one was about 61%, while pass^8 fell to about 25%. The metric exposes a practical distinction: a model that sometimes succeeds on a task is not the same as a system that can be trusted to succeed whenever the task recurs.</w:t>
      </w:r>
      <w:r>
        <w:rPr>
          <w:color w:val="2F5D7C"/>
          <w:vertAlign w:val="superscript"/>
        </w:rPr>
        <w:t xml:space="preserve"> [7]</w:t>
      </w:r>
    </w:p>
    <w:p>
      <w:r>
        <w:t xml:space="preserve">Rabanser and colleagues broadened reliability to consistency, robustness, predictability, and bounded harm. Across 15 agentic models (arXiv v3) and two agent benchmarks, their 2026 results found that successive capability gains produced only small overall reliability gains. They also found weaker links between raw performance and reliability in the open-ended GAIA setting than in the structured tau-bench environment. The authors appropriately limit the claim: two benchmarks, one scaffold per benchmark, synthetic perturbations, and some LLM-based judging cannot establish universal field reliability. [8]</w:t>
      </w:r>
      <w:r>
        <w:rPr>
          <w:color w:val="2F5D7C"/>
          <w:vertAlign w:val="superscript"/>
        </w:rPr>
      </w:r>
    </w:p>
    <w:p>
      <w:r>
        <w:t>Our interpretation: one-shot accuracy is a capability statistic. Reliability is an operational profile. A deployment claim requires repeated runs, representative perturbations, confidence or deferral behavior, error severity, and recovery from routine tool or environment faults. The required threshold depends on whether the system assists a professional or acts autonomously.</w:t>
      </w:r>
    </w:p>
    <w:p>
      <w:pPr>
        <w:pStyle w:val="Heading2"/>
      </w:pPr>
      <w:r>
        <w:t>Task sampling and scoring change the answer</w:t>
      </w:r>
    </w:p>
    <w:p>
      <w:r>
        <w:t>The Benchmark Lottery demonstrates across multiple machine-learning domains that relative performance can change substantially when benchmark tasks change. For language models specifically, Lunardi and colleagues paraphrased all questions across six common benchmarks for 34 models: rankings were relatively stable, but absolute scores declined significantly. Together, these results support a careful middle position. Rankings may be decision-useful within a reasonably stable construct; the numeric score is less portable than the rank.</w:t>
      </w:r>
      <w:r>
        <w:rPr>
          <w:color w:val="2F5D7C"/>
          <w:vertAlign w:val="superscript"/>
        </w:rPr>
        <w:t xml:space="preserve"> [9]</w:t>
      </w:r>
      <w:r>
        <w:rPr>
          <w:color w:val="2F5D7C"/>
          <w:vertAlign w:val="superscript"/>
        </w:rPr>
        <w:t xml:space="preserve"> [12]</w:t>
      </w:r>
    </w:p>
    <w:p>
      <w:r>
        <w:t>Scoring also defines the construct. Exact-match and unit-test metrics are reproducible but can omit quality, policy compliance, or unsafe trajectories. Human grading can capture professional acceptability but introduces rater variation and rubric dependence. GDPval reported automated-grader agreement of roughly 66% compared with human inter-rater agreement of roughly 71%, illustrating both the promise and the residual measurement noise in scalable grading.</w:t>
      </w:r>
      <w:r>
        <w:rPr>
          <w:color w:val="2F5D7C"/>
          <w:vertAlign w:val="superscript"/>
        </w:rPr>
        <w:t xml:space="preserve"> [1]</w:t>
      </w:r>
    </w:p>
    <w:p>
      <w:r>
        <w:t>Human baselines are not fixed yardsticks. METR found that contractor and maintainer completion-time estimates on internal pull requests differed by roughly 5–18 times. A model’s inferred task horizon therefore changes with the comparison population and domain expertise. “Human level” is meaningful only after the human sample, incentives, tools, and success standard are specified.</w:t>
      </w:r>
      <w:r>
        <w:rPr>
          <w:color w:val="2F5D7C"/>
          <w:vertAlign w:val="superscript"/>
        </w:rPr>
        <w:t xml:space="preserve"> [4]</w:t>
      </w:r>
    </w:p>
    <w:p>
      <w:pPr>
        <w:pStyle w:val="Heading2"/>
      </w:pPr>
      <w:r>
        <w:t>Contamination and data quality can inflate confidence</w:t>
      </w:r>
    </w:p>
    <w:p>
      <w:r>
        <w:t>Static public test sets face adaptive reuse and training-data exposure. Directly detecting contamination in closed training corpora is often impossible, so contamination is usually a risk assessment rather than a proved explanation for any one score. LiveBench reduces the risk by adding questions from recent sources and using objective scoring, but this design improves test integrity—not ecological validity.</w:t>
      </w:r>
      <w:r>
        <w:rPr>
          <w:color w:val="2F5D7C"/>
          <w:vertAlign w:val="superscript"/>
        </w:rPr>
        <w:t xml:space="preserve"> [11]</w:t>
      </w:r>
    </w:p>
    <w:p>
      <w:r>
        <w:t>Benchmark labels can also be wrong. MMLU-Redux manually re-annotated 5,700 items across all 57 MMLU subjects and estimated that 6.49% of MMLU questions contain errors, with material discrepancies from originally reported model metrics. The result does not invalidate every MMLU comparison. It shows why small score differences should not be treated as substantive without item audits and uncertainty.</w:t>
      </w:r>
      <w:r>
        <w:rPr>
          <w:color w:val="2F5D7C"/>
          <w:vertAlign w:val="superscript"/>
        </w:rPr>
        <w:t xml:space="preserve"> [10]</w:t>
      </w:r>
    </w:p>
    <w:p>
      <w:pPr>
        <w:pStyle w:val="Heading2"/>
      </w:pPr>
      <w:r>
        <w:t>Models, tools, and scaffolds are inseparable in applied evaluation</w:t>
      </w:r>
    </w:p>
    <w:p>
      <w:r>
        <w:t>Professional performance is a property of a system configuration, not a base model alone. GDPval used different tool paths for different providers; prompt tuning moved results by about five percentage points, and better artifact inspection sharply reduced visible document failures. SWE-Lancer imposed a three-hour limit, a 100-tool-call cap, and mostly single rollouts. The Remote Labor Index reported different outcomes for GPT-5 under command-line and computer-use scaffolds. These are not incidental details: they change the treatment being evaluated.</w:t>
      </w:r>
      <w:r>
        <w:rPr>
          <w:color w:val="2F5D7C"/>
          <w:vertAlign w:val="superscript"/>
        </w:rPr>
        <w:t xml:space="preserve"> [1]</w:t>
      </w:r>
      <w:r>
        <w:rPr>
          <w:color w:val="2F5D7C"/>
          <w:vertAlign w:val="superscript"/>
        </w:rPr>
        <w:t xml:space="preserve"> [2]</w:t>
      </w:r>
      <w:r>
        <w:rPr>
          <w:color w:val="2F5D7C"/>
          <w:vertAlign w:val="superscript"/>
        </w:rPr>
        <w:t xml:space="preserve"> [3]</w:t>
      </w:r>
    </w:p>
    <w:p>
      <w:r>
        <w:t>The appropriate comparison is therefore model plus prompt plus tools plus permissions plus scaffold plus review process. A leaderboard result cannot be cleanly transported if the deployed configuration differs.</w:t>
      </w:r>
    </w:p>
    <w:p>
      <w:pPr>
        <w:pStyle w:val="Heading2"/>
      </w:pPr>
      <w:r>
        <w:t>Field evidence shows real utility and real heterogeneity</w:t>
      </w:r>
    </w:p>
    <w:p>
      <w:r>
        <w:t>Field and controlled studies are the strongest evidence against a blanket skeptical conclusion. In a bounded programming experiment, developers with GitHub Copilot completed a JavaScript HTTP-server task 55.8% faster. In a randomized trial with 96 Google engineers, AI features reduced time on a complex enterprise-grade task by an estimated 21%, with a wide confidence interval. In a staggered deployment to 5,172 customer-support agents, AI assistance increased issues resolved per hour by 15% on average, with larger benefits for less experienced workers and small quality declines among the most experienced.</w:t>
      </w:r>
      <w:r>
        <w:rPr>
          <w:color w:val="2F5D7C"/>
          <w:vertAlign w:val="superscript"/>
        </w:rPr>
        <w:t xml:space="preserve"> [14]</w:t>
      </w:r>
      <w:r>
        <w:rPr>
          <w:color w:val="2F5D7C"/>
          <w:vertAlign w:val="superscript"/>
        </w:rPr>
        <w:t xml:space="preserve"> [15]</w:t>
      </w:r>
      <w:r>
        <w:rPr>
          <w:color w:val="2F5D7C"/>
          <w:vertAlign w:val="superscript"/>
        </w:rPr>
        <w:t xml:space="preserve"> [16]</w:t>
      </w:r>
    </w:p>
    <w:p>
      <w:r>
        <w:t>These studies directly establish productivity effects in their studied settings. They do not establish that a benchmark score predicted those effects. They also show why the target outcome matters: human-AI productivity can improve even when autonomous reliability is inadequate, and effects vary by worker, task, tool, and quality metric.</w:t>
      </w:r>
    </w:p>
    <w:p>
      <w:r>
        <w:t>METR’s 2025 randomized study provides an important counterexample. Sixteen experienced open-source developers working on 246 issues were 19% slower when allowed to use early-2025 AI tools, despite expecting to be faster. The study’s narrow population and tooling limit generalization. METR’s 2026 update suggests newer tools may be faster, but the authors conclude that adoption-related selection and measurement problems prevent a reliable effect estimate. The paired lesson is methodological: field effects can reverse by setting and become hard to identify as tool adoption changes behavior.</w:t>
      </w:r>
      <w:r>
        <w:rPr>
          <w:color w:val="2F5D7C"/>
          <w:vertAlign w:val="superscript"/>
        </w:rPr>
        <w:t xml:space="preserve"> [5]</w:t>
      </w:r>
      <w:r>
        <w:rPr>
          <w:color w:val="2F5D7C"/>
          <w:vertAlign w:val="superscript"/>
        </w:rPr>
        <w:t xml:space="preserve"> [6]</w:t>
      </w:r>
    </w:p>
    <w:p>
      <w:r>
        <w:t>In legal research, a preregistered evaluation found that proprietary retrieval-augmented tools still hallucinated on 17–33% of tested queries, contradicting vendor language that implied hallucinations had been eliminated. This does not connect a general benchmark score to legal outcomes, but it demonstrates why professional reliability requires direct, domain-specific failure measurement.</w:t>
      </w:r>
      <w:r>
        <w:rPr>
          <w:color w:val="2F5D7C"/>
          <w:vertAlign w:val="superscript"/>
        </w:rPr>
        <w:t xml:space="preserve"> [17]</w:t>
      </w:r>
      <w:r>
        <w:rPr>
          <w:color w:val="2F5D7C"/>
          <w:vertAlign w:val="superscript"/>
        </w:rPr>
        <w:t xml:space="preserve"> [18]</w:t>
      </w:r>
    </w:p>
    <w:p>
      <w:pPr>
        <w:pStyle w:val="Heading1"/>
      </w:pPr>
      <w:r>
        <w:t>Answer to the Research Question</w:t>
      </w:r>
    </w:p>
    <w:p>
      <w:r>
        <w:t xml:space="preserve">How much evidence is there? Enough to inform bounded comparisons; insufficient to establish general benchmark-to-field prediction.</w:t>
      </w:r>
    </w:p>
    <w:p>
      <w:pPr>
        <w:pStyle w:val="DRBullet"/>
      </w:pPr>
      <w:r>
        <w:t xml:space="preserve">Moderate evidence for bounded ranking usefulness. On closely matched tasks, benchmarks can separate systems and often preserve relative rankings under limited reformulation. Professional-task benchmarks identify recognizable workflow failures and system differences.</w:t>
      </w:r>
      <w:r>
        <w:rPr>
          <w:color w:val="2F5D7C"/>
          <w:vertAlign w:val="superscript"/>
        </w:rPr>
        <w:t xml:space="preserve"> [1]</w:t>
      </w:r>
      <w:r>
        <w:rPr>
          <w:color w:val="2F5D7C"/>
          <w:vertAlign w:val="superscript"/>
        </w:rPr>
        <w:t xml:space="preserve"> [2]</w:t>
      </w:r>
      <w:r>
        <w:rPr>
          <w:color w:val="2F5D7C"/>
          <w:vertAlign w:val="superscript"/>
        </w:rPr>
        <w:t xml:space="preserve"> [3]</w:t>
      </w:r>
      <w:r>
        <w:rPr>
          <w:color w:val="2F5D7C"/>
          <w:vertAlign w:val="superscript"/>
        </w:rPr>
        <w:t xml:space="preserve"> [9]</w:t>
      </w:r>
    </w:p>
    <w:p>
      <w:pPr>
        <w:pStyle w:val="DRBullet"/>
      </w:pPr>
      <w:r>
        <w:t>Limited direct evidence for benchmark-to-field calibration. We did not locate a broad, prospective study that uses benchmark scores to predict subsequent error rates, acceptance rates, productivity, or quality across multiple real professional settings.</w:t>
      </w:r>
    </w:p>
    <w:p>
      <w:pPr>
        <w:pStyle w:val="DRBullet"/>
      </w:pPr>
      <w:r>
        <w:t>Strong evidence that average capability is not sufficient for reliability. Repeated-trial success, prompt robustness, confidence discrimination, tool-fault recovery, and failure severity can diverge from average accuracy.</w:t>
      </w:r>
      <w:r>
        <w:rPr>
          <w:color w:val="2F5D7C"/>
          <w:vertAlign w:val="superscript"/>
        </w:rPr>
        <w:t xml:space="preserve"> [7]</w:t>
      </w:r>
      <w:r>
        <w:rPr>
          <w:color w:val="2F5D7C"/>
          <w:vertAlign w:val="superscript"/>
        </w:rPr>
        <w:t xml:space="preserve"> [8]</w:t>
      </w:r>
    </w:p>
    <w:p>
      <w:pPr>
        <w:pStyle w:val="DRBullet"/>
      </w:pPr>
      <w:r>
        <w:t>Strong evidence that context modifies outcomes. Task sampling, scoring rules, human baselines, tools, scaffolds, oversight, and worker experience materially affect the result.</w:t>
      </w:r>
      <w:r>
        <w:rPr>
          <w:color w:val="2F5D7C"/>
          <w:vertAlign w:val="superscript"/>
        </w:rPr>
        <w:t xml:space="preserve"> [1]</w:t>
      </w:r>
      <w:r>
        <w:rPr>
          <w:color w:val="2F5D7C"/>
          <w:vertAlign w:val="superscript"/>
        </w:rPr>
        <w:t xml:space="preserve"> [2]</w:t>
      </w:r>
      <w:r>
        <w:rPr>
          <w:color w:val="2F5D7C"/>
          <w:vertAlign w:val="superscript"/>
        </w:rPr>
        <w:t xml:space="preserve"> [4]</w:t>
      </w:r>
      <w:r>
        <w:rPr>
          <w:color w:val="2F5D7C"/>
          <w:vertAlign w:val="superscript"/>
        </w:rPr>
        <w:t xml:space="preserve"> [12]</w:t>
      </w:r>
      <w:r>
        <w:rPr>
          <w:color w:val="2F5D7C"/>
          <w:vertAlign w:val="superscript"/>
        </w:rPr>
        <w:t xml:space="preserve"> [16]</w:t>
      </w:r>
    </w:p>
    <w:p>
      <w:pPr>
        <w:pStyle w:val="DRBullet"/>
      </w:pPr>
      <w:r>
        <w:t>Moderate evidence that better-matched benchmarks are more useful. GDPval, SWE-Lancer, RLI, APEX-Agents, and tau-bench narrow the ecological gap, but each remains a sample with consequential exclusions.</w:t>
      </w:r>
      <w:r>
        <w:rPr>
          <w:color w:val="2F5D7C"/>
          <w:vertAlign w:val="superscript"/>
        </w:rPr>
        <w:t xml:space="preserve"> [1]</w:t>
      </w:r>
      <w:r>
        <w:rPr>
          <w:color w:val="2F5D7C"/>
          <w:vertAlign w:val="superscript"/>
        </w:rPr>
        <w:t xml:space="preserve"> [2]</w:t>
      </w:r>
      <w:r>
        <w:rPr>
          <w:color w:val="2F5D7C"/>
          <w:vertAlign w:val="superscript"/>
        </w:rPr>
        <w:t xml:space="preserve"> [3]</w:t>
      </w:r>
      <w:r>
        <w:rPr>
          <w:color w:val="2F5D7C"/>
          <w:vertAlign w:val="superscript"/>
        </w:rPr>
        <w:t xml:space="preserve"> [7]</w:t>
      </w:r>
      <w:r>
        <w:rPr>
          <w:color w:val="2F5D7C"/>
          <w:vertAlign w:val="superscript"/>
        </w:rPr>
        <w:t xml:space="preserve"> [20]</w:t>
      </w:r>
    </w:p>
    <w:tbl>
      <w:tblPr>
        <w:tblW w:type="auto" w:w="0"/>
        <w:jc w:val="center"/>
        <w:tblLook w:firstColumn="1" w:firstRow="1" w:lastColumn="0" w:lastRow="0" w:noHBand="0" w:noVBand="1" w:val="04A0"/>
      </w:tblPr>
      <w:tblGrid>
        <w:gridCol w:w="10080"/>
      </w:tblGrid>
      <w:tr>
        <w:trPr>
          <w:tblHeader w:val="true"/>
          <w:cantSplit/>
        </w:trPr>
        <w:tc>
          <w:tcPr>
            <w:tcW w:type="dxa" w:w="10080"/>
            <w:shd w:fill="EAF1F5"/>
            <w:tcMar>
              <w:top w:w="130" w:type="dxa"/>
              <w:start w:w="160" w:type="dxa"/>
              <w:bottom w:w="130" w:type="dxa"/>
              <w:end w:w="160" w:type="dxa"/>
            </w:tcMar>
          </w:tcPr>
          <w:p>
            <w:pPr>
              <w:spacing w:after="0"/>
            </w:pPr>
            <w:r>
              <w:rPr>
                <w:b/>
                <w:color w:val="17324D"/>
              </w:rPr>
              <w:t xml:space="preserve">Recommended client interpretation  </w:t>
            </w:r>
            <w:r>
              <w:t>Use broad benchmarks to screen capabilities, workflow-like benchmarks to shortlist systems, and a prospective local evaluation to make deployment decisions. Require repeated-trial and consequence-weighted reliability metrics whenever output will be acted on with limited human review.</w:t>
            </w:r>
          </w:p>
        </w:tc>
      </w:tr>
    </w:tbl>
    <w:p>
      <w:pPr>
        <w:spacing w:after="0"/>
      </w:pPr>
    </w:p>
    <w:p>
      <w:pPr>
        <w:pStyle w:val="Heading1"/>
      </w:pPr>
      <w:r>
        <w:t>Adversarial Review and Revision</w:t>
      </w:r>
    </w:p>
    <w:p>
      <w:pPr>
        <w:pStyle w:val="Heading2"/>
      </w:pPr>
      <w:r>
        <w:t>Strongest evidence against the conclusion</w:t>
      </w:r>
    </w:p>
    <w:p>
      <w:pPr>
        <w:pStyle w:val="DRBullet"/>
      </w:pPr>
      <w:r>
        <w:t>Professional-task benchmarks already measure realistic work products and can expose economically meaningful differences; GDPval’s expert-authored tasks and blinded expert grading are substantial evidence, not demos.</w:t>
      </w:r>
      <w:r>
        <w:rPr>
          <w:color w:val="2F5D7C"/>
          <w:vertAlign w:val="superscript"/>
        </w:rPr>
        <w:t xml:space="preserve"> [1]</w:t>
      </w:r>
    </w:p>
    <w:p>
      <w:pPr>
        <w:pStyle w:val="DRBullet"/>
      </w:pPr>
      <w:r>
        <w:t>Field studies show large or meaningful gains in programming and customer support. A conclusion that benchmarks lack predictive value could wrongly dismiss genuine capability progress.</w:t>
      </w:r>
      <w:r>
        <w:rPr>
          <w:color w:val="2F5D7C"/>
          <w:vertAlign w:val="superscript"/>
        </w:rPr>
        <w:t xml:space="preserve"> [14]</w:t>
      </w:r>
      <w:r>
        <w:rPr>
          <w:color w:val="2F5D7C"/>
          <w:vertAlign w:val="superscript"/>
        </w:rPr>
        <w:t xml:space="preserve"> [15]</w:t>
      </w:r>
      <w:r>
        <w:rPr>
          <w:color w:val="2F5D7C"/>
          <w:vertAlign w:val="superscript"/>
        </w:rPr>
        <w:t xml:space="preserve"> [16]</w:t>
      </w:r>
    </w:p>
    <w:p>
      <w:pPr>
        <w:pStyle w:val="DRBullet"/>
      </w:pPr>
      <w:r>
        <w:t>Paraphrase results preserved rankings even while absolute scores declined, suggesting benchmarks may remain useful for relative model selection.</w:t>
      </w:r>
      <w:r>
        <w:rPr>
          <w:color w:val="2F5D7C"/>
          <w:vertAlign w:val="superscript"/>
        </w:rPr>
        <w:t xml:space="preserve"> [9]</w:t>
      </w:r>
    </w:p>
    <w:p>
      <w:pPr>
        <w:pStyle w:val="DRBullet"/>
      </w:pPr>
      <w:r>
        <w:t>Capability and reliability do track more closely in structured environments; the observed gap is not uniform.</w:t>
      </w:r>
      <w:r>
        <w:rPr>
          <w:color w:val="2F5D7C"/>
          <w:vertAlign w:val="superscript"/>
        </w:rPr>
        <w:t xml:space="preserve"> [8]</w:t>
      </w:r>
    </w:p>
    <w:p>
      <w:pPr>
        <w:pStyle w:val="DRBullet"/>
      </w:pPr>
      <w:r>
        <w:t>The absence of a broad validation study is an evidence gap, not proof that the true correlation is small.</w:t>
      </w:r>
    </w:p>
    <w:p>
      <w:pPr>
        <w:pStyle w:val="Heading2"/>
      </w:pPr>
      <w:r>
        <w:t>Potential confusions tested</w:t>
      </w:r>
    </w:p>
    <w:tbl>
      <w:tblPr>
        <w:tblStyle w:val="TableGrid"/>
        <w:tblW w:type="auto" w:w="0"/>
        <w:jc w:val="center"/>
        <w:tblLook w:firstColumn="1" w:firstRow="1" w:lastColumn="0" w:lastRow="0" w:noHBand="0" w:noVBand="1" w:val="04A0"/>
      </w:tblPr>
      <w:tblGrid>
        <w:gridCol w:w="3360"/>
        <w:gridCol w:w="3360"/>
        <w:gridCol w:w="3360"/>
      </w:tblGrid>
      <w:tr>
        <w:trPr>
          <w:tblHeader w:val="true"/>
          <w:cantSplit/>
        </w:trPr>
        <w:tc>
          <w:tcPr>
            <w:tcW w:type="dxa" w:w="2016"/>
            <w:shd w:fill="17324D"/>
            <w:vAlign w:val="center"/>
          </w:tcPr>
          <w:p>
            <w:r>
              <w:rPr>
                <w:b/>
                <w:color w:val="FFFFFF"/>
                <w:sz w:val="16"/>
              </w:rPr>
              <w:t>Challenge</w:t>
            </w:r>
          </w:p>
        </w:tc>
        <w:tc>
          <w:tcPr>
            <w:tcW w:type="dxa" w:w="4320"/>
            <w:shd w:fill="17324D"/>
            <w:vAlign w:val="center"/>
          </w:tcPr>
          <w:p>
            <w:r>
              <w:rPr>
                <w:b/>
                <w:color w:val="FFFFFF"/>
                <w:sz w:val="16"/>
              </w:rPr>
              <w:t>QC determination</w:t>
            </w:r>
          </w:p>
        </w:tc>
        <w:tc>
          <w:tcPr>
            <w:tcW w:type="dxa" w:w="3744"/>
            <w:shd w:fill="17324D"/>
            <w:vAlign w:val="center"/>
          </w:tcPr>
          <w:p>
            <w:r>
              <w:rPr>
                <w:b/>
                <w:color w:val="FFFFFF"/>
                <w:sz w:val="16"/>
              </w:rPr>
              <w:t>Revision made</w:t>
            </w:r>
          </w:p>
        </w:tc>
      </w:tr>
      <w:tr>
        <w:tc>
          <w:tcPr>
            <w:tcW w:type="dxa" w:w="2016"/>
            <w:tcMar>
              <w:top w:w="80" w:type="dxa"/>
              <w:start w:w="100" w:type="dxa"/>
              <w:bottom w:w="80" w:type="dxa"/>
              <w:end w:w="100" w:type="dxa"/>
            </w:tcMar>
            <w:vAlign w:val="top"/>
          </w:tcPr>
          <w:p>
            <w:pPr>
              <w:spacing w:after="20"/>
            </w:pPr>
            <w:r>
              <w:rPr>
                <w:sz w:val="16"/>
              </w:rPr>
              <w:t>Validity vs usefulness</w:t>
            </w:r>
          </w:p>
        </w:tc>
        <w:tc>
          <w:tcPr>
            <w:tcW w:type="dxa" w:w="4320"/>
            <w:tcMar>
              <w:top w:w="80" w:type="dxa"/>
              <w:start w:w="100" w:type="dxa"/>
              <w:bottom w:w="80" w:type="dxa"/>
              <w:end w:w="100" w:type="dxa"/>
            </w:tcMar>
            <w:vAlign w:val="top"/>
          </w:tcPr>
          <w:p>
            <w:pPr>
              <w:spacing w:after="20"/>
            </w:pPr>
            <w:r>
              <w:rPr>
                <w:sz w:val="16"/>
              </w:rPr>
              <w:t>A benchmark may be imperfect yet useful for a bounded decision.</w:t>
            </w:r>
          </w:p>
        </w:tc>
        <w:tc>
          <w:tcPr>
            <w:tcW w:type="dxa" w:w="3744"/>
            <w:tcMar>
              <w:top w:w="80" w:type="dxa"/>
              <w:start w:w="100" w:type="dxa"/>
              <w:bottom w:w="80" w:type="dxa"/>
              <w:end w:w="100" w:type="dxa"/>
            </w:tcMar>
            <w:vAlign w:val="top"/>
          </w:tcPr>
          <w:p>
            <w:pPr>
              <w:spacing w:after="20"/>
            </w:pPr>
            <w:r>
              <w:rPr>
                <w:sz w:val="16"/>
              </w:rPr>
              <w:t>Separated construct validity, decision usefulness, and predictive validity.</w:t>
            </w:r>
          </w:p>
        </w:tc>
        <w:trPr>
          <w:cantSplit/>
        </w:trPr>
      </w:tr>
      <w:tr>
        <w:tc>
          <w:tcPr>
            <w:tcW w:type="dxa" w:w="2016"/>
            <w:tcMar>
              <w:top w:w="80" w:type="dxa"/>
              <w:start w:w="100" w:type="dxa"/>
              <w:bottom w:w="80" w:type="dxa"/>
              <w:end w:w="100" w:type="dxa"/>
            </w:tcMar>
            <w:vAlign w:val="top"/>
            <w:shd w:fill="F4F6F8"/>
          </w:tcPr>
          <w:p>
            <w:pPr>
              <w:spacing w:after="20"/>
            </w:pPr>
            <w:r>
              <w:rPr>
                <w:sz w:val="16"/>
              </w:rPr>
              <w:t>Generalizing across benchmarks</w:t>
            </w:r>
          </w:p>
        </w:tc>
        <w:tc>
          <w:tcPr>
            <w:tcW w:type="dxa" w:w="4320"/>
            <w:tcMar>
              <w:top w:w="80" w:type="dxa"/>
              <w:start w:w="100" w:type="dxa"/>
              <w:bottom w:w="80" w:type="dxa"/>
              <w:end w:w="100" w:type="dxa"/>
            </w:tcMar>
            <w:vAlign w:val="top"/>
            <w:shd w:fill="F4F6F8"/>
          </w:tcPr>
          <w:p>
            <w:pPr>
              <w:spacing w:after="20"/>
            </w:pPr>
            <w:r>
              <w:rPr>
                <w:sz w:val="16"/>
              </w:rPr>
              <w:t>The reviewed benchmarks measure different constructs and use different thresholds.</w:t>
            </w:r>
          </w:p>
        </w:tc>
        <w:tc>
          <w:tcPr>
            <w:tcW w:type="dxa" w:w="3744"/>
            <w:tcMar>
              <w:top w:w="80" w:type="dxa"/>
              <w:start w:w="100" w:type="dxa"/>
              <w:bottom w:w="80" w:type="dxa"/>
              <w:end w:w="100" w:type="dxa"/>
            </w:tcMar>
            <w:vAlign w:val="top"/>
            <w:shd w:fill="F4F6F8"/>
          </w:tcPr>
          <w:p>
            <w:pPr>
              <w:spacing w:after="20"/>
            </w:pPr>
            <w:r>
              <w:rPr>
                <w:sz w:val="16"/>
              </w:rPr>
              <w:t>No pooled score or cross-benchmark average was created.</w:t>
            </w:r>
          </w:p>
        </w:tc>
        <w:trPr>
          <w:cantSplit/>
        </w:trPr>
      </w:tr>
      <w:tr>
        <w:tc>
          <w:tcPr>
            <w:tcW w:type="dxa" w:w="2016"/>
            <w:tcMar>
              <w:top w:w="80" w:type="dxa"/>
              <w:start w:w="100" w:type="dxa"/>
              <w:bottom w:w="80" w:type="dxa"/>
              <w:end w:w="100" w:type="dxa"/>
            </w:tcMar>
            <w:vAlign w:val="top"/>
          </w:tcPr>
          <w:p>
            <w:pPr>
              <w:spacing w:after="20"/>
            </w:pPr>
            <w:r>
              <w:rPr>
                <w:sz w:val="16"/>
              </w:rPr>
              <w:t>Absence of evidence</w:t>
            </w:r>
          </w:p>
        </w:tc>
        <w:tc>
          <w:tcPr>
            <w:tcW w:type="dxa" w:w="4320"/>
            <w:tcMar>
              <w:top w:w="80" w:type="dxa"/>
              <w:start w:w="100" w:type="dxa"/>
              <w:bottom w:w="80" w:type="dxa"/>
              <w:end w:w="100" w:type="dxa"/>
            </w:tcMar>
            <w:vAlign w:val="top"/>
          </w:tcPr>
          <w:p>
            <w:pPr>
              <w:spacing w:after="20"/>
            </w:pPr>
            <w:r>
              <w:rPr>
                <w:sz w:val="16"/>
              </w:rPr>
              <w:t>Few studies directly estimate benchmark-to-field prediction.</w:t>
            </w:r>
          </w:p>
        </w:tc>
        <w:tc>
          <w:tcPr>
            <w:tcW w:type="dxa" w:w="3744"/>
            <w:tcMar>
              <w:top w:w="80" w:type="dxa"/>
              <w:start w:w="100" w:type="dxa"/>
              <w:bottom w:w="80" w:type="dxa"/>
              <w:end w:w="100" w:type="dxa"/>
            </w:tcMar>
            <w:vAlign w:val="top"/>
          </w:tcPr>
          <w:p>
            <w:pPr>
              <w:spacing w:after="20"/>
            </w:pPr>
            <w:r>
              <w:rPr>
                <w:sz w:val="16"/>
              </w:rPr>
              <w:t>Conclusion states ‘not established,’ not ‘no relationship.’</w:t>
            </w:r>
          </w:p>
        </w:tc>
        <w:trPr>
          <w:cantSplit/>
        </w:trPr>
      </w:tr>
      <w:tr>
        <w:tc>
          <w:tcPr>
            <w:tcW w:type="dxa" w:w="2016"/>
            <w:tcMar>
              <w:top w:w="80" w:type="dxa"/>
              <w:start w:w="100" w:type="dxa"/>
              <w:bottom w:w="80" w:type="dxa"/>
              <w:end w:w="100" w:type="dxa"/>
            </w:tcMar>
            <w:vAlign w:val="top"/>
            <w:shd w:fill="F4F6F8"/>
          </w:tcPr>
          <w:p>
            <w:pPr>
              <w:spacing w:after="20"/>
            </w:pPr>
            <w:r>
              <w:rPr>
                <w:sz w:val="16"/>
              </w:rPr>
              <w:t>Alternative explanations</w:t>
            </w:r>
          </w:p>
        </w:tc>
        <w:tc>
          <w:tcPr>
            <w:tcW w:type="dxa" w:w="4320"/>
            <w:tcMar>
              <w:top w:w="80" w:type="dxa"/>
              <w:start w:w="100" w:type="dxa"/>
              <w:bottom w:w="80" w:type="dxa"/>
              <w:end w:w="100" w:type="dxa"/>
            </w:tcMar>
            <w:vAlign w:val="top"/>
            <w:shd w:fill="F4F6F8"/>
          </w:tcPr>
          <w:p>
            <w:pPr>
              <w:spacing w:after="20"/>
            </w:pPr>
            <w:r>
              <w:rPr>
                <w:sz w:val="16"/>
              </w:rPr>
              <w:t>Score gaps may reflect task mix, tools, time limits, judging, or human comparison groups.</w:t>
            </w:r>
          </w:p>
        </w:tc>
        <w:tc>
          <w:tcPr>
            <w:tcW w:type="dxa" w:w="3744"/>
            <w:tcMar>
              <w:top w:w="80" w:type="dxa"/>
              <w:start w:w="100" w:type="dxa"/>
              <w:bottom w:w="80" w:type="dxa"/>
              <w:end w:w="100" w:type="dxa"/>
            </w:tcMar>
            <w:vAlign w:val="top"/>
            <w:shd w:fill="F4F6F8"/>
          </w:tcPr>
          <w:p>
            <w:pPr>
              <w:spacing w:after="20"/>
            </w:pPr>
            <w:r>
              <w:rPr>
                <w:sz w:val="16"/>
              </w:rPr>
              <w:t>Causal language is restricted to randomized field studies.</w:t>
            </w:r>
          </w:p>
        </w:tc>
        <w:trPr>
          <w:cantSplit/>
        </w:trPr>
      </w:tr>
      <w:tr>
        <w:tc>
          <w:tcPr>
            <w:tcW w:type="dxa" w:w="2016"/>
            <w:tcMar>
              <w:top w:w="80" w:type="dxa"/>
              <w:start w:w="100" w:type="dxa"/>
              <w:bottom w:w="80" w:type="dxa"/>
              <w:end w:w="100" w:type="dxa"/>
            </w:tcMar>
            <w:vAlign w:val="top"/>
          </w:tcPr>
          <w:p>
            <w:pPr>
              <w:spacing w:after="20"/>
            </w:pPr>
            <w:r>
              <w:rPr>
                <w:sz w:val="16"/>
              </w:rPr>
              <w:t>Skeptical client test</w:t>
            </w:r>
          </w:p>
        </w:tc>
        <w:tc>
          <w:tcPr>
            <w:tcW w:type="dxa" w:w="4320"/>
            <w:tcMar>
              <w:top w:w="80" w:type="dxa"/>
              <w:start w:w="100" w:type="dxa"/>
              <w:bottom w:w="80" w:type="dxa"/>
              <w:end w:w="100" w:type="dxa"/>
            </w:tcMar>
            <w:vAlign w:val="top"/>
          </w:tcPr>
          <w:p>
            <w:pPr>
              <w:spacing w:after="20"/>
            </w:pPr>
            <w:r>
              <w:rPr>
                <w:sz w:val="16"/>
              </w:rPr>
              <w:t>A client needs an action rule, not only critique.</w:t>
            </w:r>
          </w:p>
        </w:tc>
        <w:tc>
          <w:tcPr>
            <w:tcW w:type="dxa" w:w="3744"/>
            <w:tcMar>
              <w:top w:w="80" w:type="dxa"/>
              <w:start w:w="100" w:type="dxa"/>
              <w:bottom w:w="80" w:type="dxa"/>
              <w:end w:w="100" w:type="dxa"/>
            </w:tcMar>
            <w:vAlign w:val="top"/>
          </w:tcPr>
          <w:p>
            <w:pPr>
              <w:spacing w:after="20"/>
            </w:pPr>
            <w:r>
              <w:rPr>
                <w:sz w:val="16"/>
              </w:rPr>
              <w:t xml:space="preserve">Added six transfer dimensions and proposed local evaluation guidance; neither is a validated decision rule.</w:t>
            </w:r>
          </w:p>
        </w:tc>
        <w:trPr>
          <w:cantSplit/>
        </w:trPr>
      </w:tr>
    </w:tbl>
    <w:p>
      <w:pPr>
        <w:spacing w:after="0"/>
      </w:pPr>
    </w:p>
    <w:p>
      <w:pPr>
        <w:pStyle w:val="Heading2"/>
      </w:pPr>
      <w:r>
        <w:t>Revised conclusion</w:t>
      </w:r>
    </w:p>
    <w:p>
      <w:r>
        <w:t xml:space="preserve">Benchmark results can inform bounded comparisons. This review did not establish a general calibration between aggregate benchmark scores and dependable professional performance. Similarity between evaluation and deployment is a reason to test transfer, not evidence that transfer has already been validated.</w:t>
      </w:r>
    </w:p>
    <w:p>
      <w:pPr>
        <w:pStyle w:val="Heading1"/>
      </w:pPr>
      <w:r>
        <w:t>Verification Notes</w:t>
      </w:r>
    </w:p>
    <w:tbl>
      <w:tblPr>
        <w:tblStyle w:val="TableGrid"/>
        <w:tblW w:type="auto" w:w="0"/>
        <w:jc w:val="center"/>
        <w:tblLook w:firstColumn="1" w:firstRow="1" w:lastColumn="0" w:lastRow="0" w:noHBand="0" w:noVBand="1" w:val="04A0"/>
      </w:tblPr>
      <w:tblGrid>
        <w:gridCol w:w="3360"/>
        <w:gridCol w:w="3360"/>
        <w:gridCol w:w="3360"/>
      </w:tblGrid>
      <w:tr>
        <w:trPr>
          <w:tblHeader w:val="true"/>
          <w:cantSplit/>
        </w:trPr>
        <w:tc>
          <w:tcPr>
            <w:tcW w:type="dxa" w:w="2376"/>
            <w:shd w:fill="17324D"/>
            <w:vAlign w:val="center"/>
          </w:tcPr>
          <w:p>
            <w:r>
              <w:rPr>
                <w:b/>
                <w:color w:val="FFFFFF"/>
                <w:sz w:val="16"/>
              </w:rPr>
              <w:t>Claim checked</w:t>
            </w:r>
          </w:p>
        </w:tc>
        <w:tc>
          <w:tcPr>
            <w:tcW w:type="dxa" w:w="5472"/>
            <w:shd w:fill="17324D"/>
            <w:vAlign w:val="center"/>
          </w:tcPr>
          <w:p>
            <w:r>
              <w:rPr>
                <w:b/>
                <w:color w:val="FFFFFF"/>
                <w:sz w:val="16"/>
              </w:rPr>
              <w:t>Verification result</w:t>
            </w:r>
          </w:p>
        </w:tc>
        <w:tc>
          <w:tcPr>
            <w:tcW w:type="dxa" w:w="2232"/>
            <w:shd w:fill="17324D"/>
            <w:vAlign w:val="center"/>
          </w:tcPr>
          <w:p>
            <w:r>
              <w:rPr>
                <w:b/>
                <w:color w:val="FFFFFF"/>
                <w:sz w:val="16"/>
              </w:rPr>
              <w:t>Interpretive effect</w:t>
            </w:r>
          </w:p>
        </w:tc>
      </w:tr>
      <w:tr>
        <w:tc>
          <w:tcPr>
            <w:tcW w:type="dxa" w:w="2376"/>
            <w:tcMar>
              <w:top w:w="80" w:type="dxa"/>
              <w:start w:w="100" w:type="dxa"/>
              <w:bottom w:w="80" w:type="dxa"/>
              <w:end w:w="100" w:type="dxa"/>
            </w:tcMar>
            <w:vAlign w:val="top"/>
          </w:tcPr>
          <w:p>
            <w:pPr>
              <w:spacing w:after="20"/>
            </w:pPr>
            <w:r>
              <w:rPr>
                <w:sz w:val="16"/>
              </w:rPr>
              <w:t>“GDPval shows AI can do half of professional work.”</w:t>
            </w:r>
          </w:p>
        </w:tc>
        <w:tc>
          <w:tcPr>
            <w:tcW w:type="dxa" w:w="5472"/>
            <w:tcMar>
              <w:top w:w="80" w:type="dxa"/>
              <w:start w:w="100" w:type="dxa"/>
              <w:bottom w:w="80" w:type="dxa"/>
              <w:end w:w="100" w:type="dxa"/>
            </w:tcMar>
            <w:vAlign w:val="top"/>
          </w:tcPr>
          <w:p>
            <w:pPr>
              <w:spacing w:after="20"/>
            </w:pPr>
            <w:r>
              <w:rPr>
                <w:sz w:val="16"/>
              </w:rPr>
              <w:t>Not verified. The 47.6% figure is wins plus ties in pairwise judgments on specified gold-set deliverables; it is not share of a job or autonomous workflow completion.</w:t>
            </w:r>
          </w:p>
        </w:tc>
        <w:tc>
          <w:tcPr>
            <w:tcW w:type="dxa" w:w="2232"/>
            <w:tcMar>
              <w:top w:w="80" w:type="dxa"/>
              <w:start w:w="100" w:type="dxa"/>
              <w:bottom w:w="80" w:type="dxa"/>
              <w:end w:w="100" w:type="dxa"/>
            </w:tcMar>
            <w:vAlign w:val="top"/>
          </w:tcPr>
          <w:p>
            <w:pPr>
              <w:spacing w:after="20"/>
            </w:pPr>
            <w:r>
              <w:rPr>
                <w:sz w:val="16"/>
              </w:rPr>
              <w:t>Reframed as bounded output-quality evidence.</w:t>
            </w:r>
          </w:p>
        </w:tc>
        <w:trPr>
          <w:cantSplit/>
        </w:trPr>
      </w:tr>
      <w:tr>
        <w:tc>
          <w:tcPr>
            <w:tcW w:type="dxa" w:w="2376"/>
            <w:tcMar>
              <w:top w:w="80" w:type="dxa"/>
              <w:start w:w="100" w:type="dxa"/>
              <w:bottom w:w="80" w:type="dxa"/>
              <w:end w:w="100" w:type="dxa"/>
            </w:tcMar>
            <w:vAlign w:val="top"/>
            <w:shd w:fill="F4F6F8"/>
          </w:tcPr>
          <w:p>
            <w:pPr>
              <w:spacing w:after="20"/>
            </w:pPr>
            <w:r>
              <w:rPr>
                <w:sz w:val="16"/>
              </w:rPr>
              <w:t>“Models are 100× faster and cheaper than professionals.”</w:t>
            </w:r>
          </w:p>
        </w:tc>
        <w:tc>
          <w:tcPr>
            <w:tcW w:type="dxa" w:w="5472"/>
            <w:tcMar>
              <w:top w:w="80" w:type="dxa"/>
              <w:start w:w="100" w:type="dxa"/>
              <w:bottom w:w="80" w:type="dxa"/>
              <w:end w:w="100" w:type="dxa"/>
            </w:tcMar>
            <w:vAlign w:val="top"/>
            <w:shd w:fill="F4F6F8"/>
          </w:tcPr>
          <w:p>
            <w:pPr>
              <w:spacing w:after="20"/>
            </w:pPr>
            <w:r>
              <w:rPr>
                <w:sz w:val="16"/>
              </w:rPr>
              <w:t>The GDPval comparison is raw task-production time and inference cost and excludes oversight, iteration, and integration.</w:t>
            </w:r>
          </w:p>
        </w:tc>
        <w:tc>
          <w:tcPr>
            <w:tcW w:type="dxa" w:w="2232"/>
            <w:tcMar>
              <w:top w:w="80" w:type="dxa"/>
              <w:start w:w="100" w:type="dxa"/>
              <w:bottom w:w="80" w:type="dxa"/>
              <w:end w:w="100" w:type="dxa"/>
            </w:tcMar>
            <w:vAlign w:val="top"/>
            <w:shd w:fill="F4F6F8"/>
          </w:tcPr>
          <w:p>
            <w:pPr>
              <w:spacing w:after="20"/>
            </w:pPr>
            <w:r>
              <w:rPr>
                <w:sz w:val="16"/>
              </w:rPr>
              <w:t>Excluded as a field productivity estimate.</w:t>
            </w:r>
          </w:p>
        </w:tc>
        <w:trPr>
          <w:cantSplit/>
        </w:trPr>
      </w:tr>
      <w:tr>
        <w:tc>
          <w:tcPr>
            <w:tcW w:type="dxa" w:w="2376"/>
            <w:tcMar>
              <w:top w:w="80" w:type="dxa"/>
              <w:start w:w="100" w:type="dxa"/>
              <w:bottom w:w="80" w:type="dxa"/>
              <w:end w:w="100" w:type="dxa"/>
            </w:tcMar>
            <w:vAlign w:val="top"/>
          </w:tcPr>
          <w:p>
            <w:pPr>
              <w:spacing w:after="20"/>
            </w:pPr>
            <w:r>
              <w:rPr>
                <w:sz w:val="16"/>
              </w:rPr>
              <w:t>“SWE-bench predicts software-engineering performance.”</w:t>
            </w:r>
          </w:p>
        </w:tc>
        <w:tc>
          <w:tcPr>
            <w:tcW w:type="dxa" w:w="5472"/>
            <w:tcMar>
              <w:top w:w="80" w:type="dxa"/>
              <w:start w:w="100" w:type="dxa"/>
              <w:bottom w:w="80" w:type="dxa"/>
              <w:end w:w="100" w:type="dxa"/>
            </w:tcMar>
            <w:vAlign w:val="top"/>
          </w:tcPr>
          <w:p>
            <w:pPr>
              <w:spacing w:after="20"/>
            </w:pPr>
            <w:r>
              <w:rPr>
                <w:sz w:val="16"/>
              </w:rPr>
              <w:t>No direct predictive validation located. SWE-Lancer reports a large score gap for GPT-4o under a different task distribution.</w:t>
            </w:r>
          </w:p>
        </w:tc>
        <w:tc>
          <w:tcPr>
            <w:tcW w:type="dxa" w:w="2232"/>
            <w:tcMar>
              <w:top w:w="80" w:type="dxa"/>
              <w:start w:w="100" w:type="dxa"/>
              <w:bottom w:w="80" w:type="dxa"/>
              <w:end w:w="100" w:type="dxa"/>
            </w:tcMar>
            <w:vAlign w:val="top"/>
          </w:tcPr>
          <w:p>
            <w:pPr>
              <w:spacing w:after="20"/>
            </w:pPr>
            <w:r>
              <w:rPr>
                <w:sz w:val="16"/>
              </w:rPr>
              <w:t>Used as evidence of transport risk, not universal invalidity.</w:t>
            </w:r>
          </w:p>
        </w:tc>
        <w:trPr>
          <w:cantSplit/>
        </w:trPr>
      </w:tr>
      <w:tr>
        <w:tc>
          <w:tcPr>
            <w:tcW w:type="dxa" w:w="2376"/>
            <w:tcMar>
              <w:top w:w="80" w:type="dxa"/>
              <w:start w:w="100" w:type="dxa"/>
              <w:bottom w:w="80" w:type="dxa"/>
              <w:end w:w="100" w:type="dxa"/>
            </w:tcMar>
            <w:vAlign w:val="top"/>
            <w:shd w:fill="F4F6F8"/>
          </w:tcPr>
          <w:p>
            <w:pPr>
              <w:spacing w:after="20"/>
            </w:pPr>
            <w:r>
              <w:rPr>
                <w:sz w:val="16"/>
              </w:rPr>
              <w:t>“Remote Labor Index measures the whole labor market.”</w:t>
            </w:r>
          </w:p>
        </w:tc>
        <w:tc>
          <w:tcPr>
            <w:tcW w:type="dxa" w:w="5472"/>
            <w:tcMar>
              <w:top w:w="80" w:type="dxa"/>
              <w:start w:w="100" w:type="dxa"/>
              <w:bottom w:w="80" w:type="dxa"/>
              <w:end w:w="100" w:type="dxa"/>
            </w:tcMar>
            <w:vAlign w:val="top"/>
            <w:shd w:fill="F4F6F8"/>
          </w:tcPr>
          <w:p>
            <w:pPr>
              <w:spacing w:after="20"/>
            </w:pPr>
            <w:r>
              <w:rPr>
                <w:sz w:val="16"/>
              </w:rPr>
              <w:t>Contradicted by scope. It samples commissioned remote projects and omits interaction, teams, and project management.</w:t>
            </w:r>
          </w:p>
        </w:tc>
        <w:tc>
          <w:tcPr>
            <w:tcW w:type="dxa" w:w="2232"/>
            <w:tcMar>
              <w:top w:w="80" w:type="dxa"/>
              <w:start w:w="100" w:type="dxa"/>
              <w:bottom w:w="80" w:type="dxa"/>
              <w:end w:w="100" w:type="dxa"/>
            </w:tcMar>
            <w:vAlign w:val="top"/>
            <w:shd w:fill="F4F6F8"/>
          </w:tcPr>
          <w:p>
            <w:pPr>
              <w:spacing w:after="20"/>
            </w:pPr>
            <w:r>
              <w:rPr>
                <w:sz w:val="16"/>
              </w:rPr>
              <w:t>Restricted to autonomous remote-project delivery.</w:t>
            </w:r>
          </w:p>
        </w:tc>
        <w:trPr>
          <w:cantSplit/>
        </w:trPr>
      </w:tr>
      <w:tr>
        <w:tc>
          <w:tcPr>
            <w:tcW w:type="dxa" w:w="2376"/>
            <w:tcMar>
              <w:top w:w="80" w:type="dxa"/>
              <w:start w:w="100" w:type="dxa"/>
              <w:bottom w:w="80" w:type="dxa"/>
              <w:end w:w="100" w:type="dxa"/>
            </w:tcMar>
            <w:vAlign w:val="top"/>
          </w:tcPr>
          <w:p>
            <w:pPr>
              <w:spacing w:after="20"/>
            </w:pPr>
            <w:r>
              <w:rPr>
                <w:sz w:val="16"/>
              </w:rPr>
              <w:t>“Hallucination-free legal research.”</w:t>
            </w:r>
          </w:p>
        </w:tc>
        <w:tc>
          <w:tcPr>
            <w:tcW w:type="dxa" w:w="5472"/>
            <w:tcMar>
              <w:top w:w="80" w:type="dxa"/>
              <w:start w:w="100" w:type="dxa"/>
              <w:bottom w:w="80" w:type="dxa"/>
              <w:end w:w="100" w:type="dxa"/>
            </w:tcMar>
            <w:vAlign w:val="top"/>
          </w:tcPr>
          <w:p>
            <w:pPr>
              <w:spacing w:after="20"/>
            </w:pPr>
            <w:r>
              <w:rPr>
                <w:sz w:val="16"/>
              </w:rPr>
              <w:t>A preregistered evaluation found 17–33% hallucination rates for tested proprietary tools.</w:t>
            </w:r>
          </w:p>
        </w:tc>
        <w:tc>
          <w:tcPr>
            <w:tcW w:type="dxa" w:w="2232"/>
            <w:tcMar>
              <w:top w:w="80" w:type="dxa"/>
              <w:start w:w="100" w:type="dxa"/>
              <w:bottom w:w="80" w:type="dxa"/>
              <w:end w:w="100" w:type="dxa"/>
            </w:tcMar>
            <w:vAlign w:val="top"/>
          </w:tcPr>
          <w:p>
            <w:pPr>
              <w:spacing w:after="20"/>
            </w:pPr>
            <w:r>
              <w:rPr>
                <w:sz w:val="16"/>
              </w:rPr>
              <w:t>Vendor claim treated as overstated.</w:t>
            </w:r>
          </w:p>
        </w:tc>
        <w:trPr>
          <w:cantSplit/>
        </w:trPr>
      </w:tr>
      <w:tr>
        <w:tc>
          <w:tcPr>
            <w:tcW w:type="dxa" w:w="2376"/>
            <w:tcMar>
              <w:top w:w="80" w:type="dxa"/>
              <w:start w:w="100" w:type="dxa"/>
              <w:bottom w:w="80" w:type="dxa"/>
              <w:end w:w="100" w:type="dxa"/>
            </w:tcMar>
            <w:vAlign w:val="top"/>
            <w:shd w:fill="F4F6F8"/>
          </w:tcPr>
          <w:p>
            <w:pPr>
              <w:spacing w:after="20"/>
            </w:pPr>
            <w:r>
              <w:rPr>
                <w:sz w:val="16"/>
              </w:rPr>
              <w:t>“AI made experienced developers slower.”</w:t>
            </w:r>
          </w:p>
        </w:tc>
        <w:tc>
          <w:tcPr>
            <w:tcW w:type="dxa" w:w="5472"/>
            <w:tcMar>
              <w:top w:w="80" w:type="dxa"/>
              <w:start w:w="100" w:type="dxa"/>
              <w:bottom w:w="80" w:type="dxa"/>
              <w:end w:w="100" w:type="dxa"/>
            </w:tcMar>
            <w:vAlign w:val="top"/>
            <w:shd w:fill="F4F6F8"/>
          </w:tcPr>
          <w:p>
            <w:pPr>
              <w:spacing w:after="20"/>
            </w:pPr>
            <w:r>
              <w:rPr>
                <w:sz w:val="16"/>
              </w:rPr>
              <w:t xml:space="preserve">Verified only for METR’s early-2025, narrow RCT. The 2026 follow-up reported estimates but described them as an unreliable signal because of selection and measurement problems.</w:t>
            </w:r>
          </w:p>
        </w:tc>
        <w:tc>
          <w:tcPr>
            <w:tcW w:type="dxa" w:w="2232"/>
            <w:tcMar>
              <w:top w:w="80" w:type="dxa"/>
              <w:start w:w="100" w:type="dxa"/>
              <w:bottom w:w="80" w:type="dxa"/>
              <w:end w:w="100" w:type="dxa"/>
            </w:tcMar>
            <w:vAlign w:val="top"/>
            <w:shd w:fill="F4F6F8"/>
          </w:tcPr>
          <w:p>
            <w:pPr>
              <w:spacing w:after="20"/>
            </w:pPr>
            <w:r>
              <w:rPr>
                <w:sz w:val="16"/>
              </w:rPr>
              <w:t>No timeless or universal slowdown claim.</w:t>
            </w:r>
          </w:p>
        </w:tc>
        <w:trPr>
          <w:cantSplit/>
        </w:trPr>
      </w:tr>
      <w:tr>
        <w:tc>
          <w:tcPr>
            <w:tcW w:type="dxa" w:w="2376"/>
            <w:tcMar>
              <w:top w:w="80" w:type="dxa"/>
              <w:start w:w="100" w:type="dxa"/>
              <w:bottom w:w="80" w:type="dxa"/>
              <w:end w:w="100" w:type="dxa"/>
            </w:tcMar>
            <w:vAlign w:val="top"/>
          </w:tcPr>
          <w:p>
            <w:pPr>
              <w:spacing w:after="20"/>
            </w:pPr>
            <w:r>
              <w:rPr>
                <w:sz w:val="16"/>
              </w:rPr>
              <w:t>GDPval headline wording</w:t>
            </w:r>
          </w:p>
        </w:tc>
        <w:tc>
          <w:tcPr>
            <w:tcW w:type="dxa" w:w="5472"/>
            <w:tcMar>
              <w:top w:w="80" w:type="dxa"/>
              <w:start w:w="100" w:type="dxa"/>
              <w:bottom w:w="80" w:type="dxa"/>
              <w:end w:w="100" w:type="dxa"/>
            </w:tcMar>
            <w:vAlign w:val="top"/>
          </w:tcPr>
          <w:p>
            <w:pPr>
              <w:spacing w:after="20"/>
            </w:pPr>
            <w:r>
              <w:rPr>
                <w:sz w:val="16"/>
              </w:rPr>
              <w:t>The paper reports 47.6% wins plus ties, while adjacent prose describes the result imprecisely as around half.</w:t>
            </w:r>
          </w:p>
        </w:tc>
        <w:tc>
          <w:tcPr>
            <w:tcW w:type="dxa" w:w="2232"/>
            <w:tcMar>
              <w:top w:w="80" w:type="dxa"/>
              <w:start w:w="100" w:type="dxa"/>
              <w:bottom w:w="80" w:type="dxa"/>
              <w:end w:w="100" w:type="dxa"/>
            </w:tcMar>
            <w:vAlign w:val="top"/>
          </w:tcPr>
          <w:p>
            <w:pPr>
              <w:spacing w:after="20"/>
            </w:pPr>
            <w:r>
              <w:rPr>
                <w:sz w:val="16"/>
              </w:rPr>
              <w:t>The numeric table value is used; rhetorical paraphrases are avoided.</w:t>
            </w:r>
          </w:p>
        </w:tc>
        <w:trPr>
          <w:cantSplit/>
        </w:trPr>
      </w:tr>
      <w:tr>
        <w:tc>
          <w:tcPr>
            <w:tcW w:type="dxa" w:w="2376"/>
            <w:tcMar>
              <w:top w:w="80" w:type="dxa"/>
              <w:start w:w="100" w:type="dxa"/>
              <w:bottom w:w="80" w:type="dxa"/>
              <w:end w:w="100" w:type="dxa"/>
            </w:tcMar>
            <w:vAlign w:val="top"/>
            <w:shd w:fill="F4F6F8"/>
          </w:tcPr>
          <w:p>
            <w:pPr>
              <w:spacing w:after="20"/>
            </w:pPr>
            <w:r>
              <w:rPr>
                <w:sz w:val="16"/>
              </w:rPr>
              <w:t>tau-bench labels are clean</w:t>
            </w:r>
          </w:p>
        </w:tc>
        <w:tc>
          <w:tcPr>
            <w:tcW w:type="dxa" w:w="5472"/>
            <w:tcMar>
              <w:top w:w="80" w:type="dxa"/>
              <w:start w:w="100" w:type="dxa"/>
              <w:bottom w:w="80" w:type="dxa"/>
              <w:end w:w="100" w:type="dxa"/>
            </w:tcMar>
            <w:vAlign w:val="top"/>
            <w:shd w:fill="F4F6F8"/>
          </w:tcPr>
          <w:p>
            <w:pPr>
              <w:spacing w:after="20"/>
            </w:pPr>
            <w:r>
              <w:rPr>
                <w:sz w:val="16"/>
              </w:rPr>
              <w:t>A 2026 reliability study reports prior work found errors in 24 of 50 airline tasks and uses a verified 26-task subset.</w:t>
            </w:r>
          </w:p>
        </w:tc>
        <w:tc>
          <w:tcPr>
            <w:tcW w:type="dxa" w:w="2232"/>
            <w:tcMar>
              <w:top w:w="80" w:type="dxa"/>
              <w:start w:w="100" w:type="dxa"/>
              <w:bottom w:w="80" w:type="dxa"/>
              <w:end w:w="100" w:type="dxa"/>
            </w:tcMar>
            <w:vAlign w:val="top"/>
            <w:shd w:fill="F4F6F8"/>
          </w:tcPr>
          <w:p>
            <w:pPr>
              <w:spacing w:after="20"/>
            </w:pPr>
            <w:r>
              <w:rPr>
                <w:sz w:val="16"/>
              </w:rPr>
              <w:t>Original benchmark results are retained with a data-quality caveat.</w:t>
            </w:r>
          </w:p>
        </w:tc>
        <w:trPr>
          <w:cantSplit/>
        </w:trPr>
      </w:tr>
    </w:tbl>
    <w:p>
      <w:pPr>
        <w:spacing w:after="0"/>
      </w:pPr>
    </w:p>
    <w:p>
      <w:pPr>
        <w:pStyle w:val="Heading1"/>
      </w:pPr>
      <w:r>
        <w:t>Limitations and Unresolved Questions</w:t>
      </w:r>
    </w:p>
    <w:p>
      <w:pPr>
        <w:pStyle w:val="DRBullet"/>
      </w:pPr>
      <w:r>
        <w:t xml:space="preserve">No comprehensive benchmark-to-field panel located in this review. The central missing design would evaluate the same model-system configurations on standardized benchmarks and then prospectively on representative workplace tasks, with predeclared outcomes.</w:t>
      </w:r>
    </w:p>
    <w:p>
      <w:pPr>
        <w:pStyle w:val="DRBullet"/>
      </w:pPr>
      <w:r>
        <w:t>Rapid version change. Model, tool, agent, and interface updates can obsolete a result within months; dynamic leaderboards do not solve comparability by themselves.</w:t>
      </w:r>
    </w:p>
    <w:p>
      <w:pPr>
        <w:pStyle w:val="DRBullet"/>
      </w:pPr>
      <w:r>
        <w:t>Selective publication and vendor involvement. Many frontier evaluations are produced by model, data, or evaluation vendors; independent replication is limited, especially for private tasks.</w:t>
      </w:r>
    </w:p>
    <w:p>
      <w:pPr>
        <w:pStyle w:val="DRBullet"/>
      </w:pPr>
      <w:r>
        <w:t>Sparse repeated-run reporting. Many professional-task benchmarks report one or a few runs, which limits estimation of tail failure and consistency.</w:t>
      </w:r>
    </w:p>
    <w:p>
      <w:pPr>
        <w:pStyle w:val="DRBullet"/>
      </w:pPr>
      <w:r>
        <w:t>Human work is heterogeneous. Professional workflows include tacit knowledge, accountability, relationships, and organization-specific context that are difficult to sample without privacy and access problems.</w:t>
      </w:r>
    </w:p>
    <w:p>
      <w:pPr>
        <w:pStyle w:val="DRBullet"/>
      </w:pPr>
      <w:r>
        <w:t>Productivity is not reliability. Faster completion can coexist with lower quality or greater verification burden; benchmark success can coexist with weak human-system impact.</w:t>
      </w:r>
    </w:p>
    <w:p>
      <w:pPr>
        <w:pStyle w:val="DRBullet"/>
      </w:pPr>
      <w:r>
        <w:t>Automation is not augmentation. A low autonomous completion rate may still be compatible with substantial value under expert review, and a high-quality single deliverable may not imply end-to-end job substitution.</w:t>
      </w:r>
    </w:p>
    <w:p>
      <w:pPr>
        <w:pStyle w:val="Heading2"/>
      </w:pPr>
      <w:r>
        <w:t>Evidence needed next</w:t>
      </w:r>
    </w:p>
    <w:p>
      <w:pPr>
        <w:pStyle w:val="DRBullet"/>
      </w:pPr>
      <w:r>
        <w:t>Prospective, preregistered studies that predict field outcomes from benchmark scores before deployment.</w:t>
      </w:r>
    </w:p>
    <w:p>
      <w:pPr>
        <w:pStyle w:val="DRBullet"/>
      </w:pPr>
      <w:r>
        <w:t>Multiple organizations, occupations, worker-skill strata, and model-plus-tool configurations.</w:t>
      </w:r>
    </w:p>
    <w:p>
      <w:pPr>
        <w:pStyle w:val="DRBullet"/>
      </w:pPr>
      <w:r>
        <w:t>Representative task sampling with documented inclusion and exclusion probabilities.</w:t>
      </w:r>
    </w:p>
    <w:p>
      <w:pPr>
        <w:pStyle w:val="DRBullet"/>
      </w:pPr>
      <w:r>
        <w:t>Repeated runs and stress tests, including routine tool faults and semantically equivalent instructions.</w:t>
      </w:r>
    </w:p>
    <w:p>
      <w:pPr>
        <w:pStyle w:val="DRBullet"/>
      </w:pPr>
      <w:r>
        <w:t>Outcome measures covering quality, time, cost, review burden, escalation, error severity, and downstream correction.</w:t>
      </w:r>
    </w:p>
    <w:p>
      <w:pPr>
        <w:pStyle w:val="DRBullet"/>
      </w:pPr>
      <w:r>
        <w:t>Independent audits of test integrity, contamination exposure, grading reliability, and vendor-supplied claims.</w:t>
      </w:r>
    </w:p>
    <w:p>
      <w:r>
        <w:br w:type="page"/>
      </w:r>
    </w:p>
    <w:p>
      <w:pPr>
        <w:pStyle w:val="Heading1"/>
      </w:pPr>
      <w:r>
        <w:t>Portfolio Version</w:t>
      </w:r>
    </w:p>
    <w:p>
      <w:r>
        <w:rPr>
          <w:i/>
          <w:color w:val="6B7280"/>
        </w:rPr>
        <w:t>A public-facing case study for Diagnostic Research</w:t>
      </w:r>
    </w:p>
    <w:p>
      <w:pPr>
        <w:pStyle w:val="Heading2"/>
      </w:pPr>
      <w:r>
        <w:t>Question</w:t>
      </w:r>
    </w:p>
    <w:p>
      <w:r>
        <w:t>Do strong AI benchmark scores predict reliable performance in real professional work?</w:t>
      </w:r>
    </w:p>
    <w:p>
      <w:pPr>
        <w:pStyle w:val="Heading2"/>
      </w:pPr>
      <w:r>
        <w:t>Method</w:t>
      </w:r>
    </w:p>
    <w:p>
      <w:r>
        <w:t xml:space="preserve">We built an evidence ladder from static benchmark methodology to professional-task evaluations and randomized workplace studies. We organized claims by source, design, inference, and limitations. The companion matrix distinguishes checks against published findings from independent replication and client-specific transfer, which were not performed. We then ran an adversarial review designed to challenge the emerging conclusion.</w:t>
      </w:r>
    </w:p>
    <w:p>
      <w:pPr>
        <w:pStyle w:val="Heading2"/>
      </w:pPr>
      <w:r>
        <w:t>Evidence</w:t>
      </w:r>
    </w:p>
    <w:p>
      <w:pPr>
        <w:pStyle w:val="DRBullet"/>
      </w:pPr>
      <w:r>
        <w:t>Professional-task benchmarks such as GDPval, SWE-Lancer, RLI, and APEX-Agents make evaluation more realistic but sample different slices of work and exclude important workflow elements.</w:t>
      </w:r>
      <w:r>
        <w:rPr>
          <w:color w:val="2F5D7C"/>
          <w:vertAlign w:val="superscript"/>
        </w:rPr>
        <w:t xml:space="preserve"> [1]</w:t>
      </w:r>
      <w:r>
        <w:rPr>
          <w:color w:val="2F5D7C"/>
          <w:vertAlign w:val="superscript"/>
        </w:rPr>
        <w:t xml:space="preserve"> [2]</w:t>
      </w:r>
      <w:r>
        <w:rPr>
          <w:color w:val="2F5D7C"/>
          <w:vertAlign w:val="superscript"/>
        </w:rPr>
        <w:t xml:space="preserve"> [3]</w:t>
      </w:r>
      <w:r>
        <w:rPr>
          <w:color w:val="2F5D7C"/>
          <w:vertAlign w:val="superscript"/>
        </w:rPr>
        <w:t xml:space="preserve"> [20]</w:t>
      </w:r>
    </w:p>
    <w:p>
      <w:pPr>
        <w:pStyle w:val="DRBullet"/>
      </w:pPr>
      <w:r>
        <w:t>Repeated-trial benchmarks show that one-shot success can substantially overstate dependable success.</w:t>
      </w:r>
      <w:r>
        <w:rPr>
          <w:color w:val="2F5D7C"/>
          <w:vertAlign w:val="superscript"/>
        </w:rPr>
        <w:t xml:space="preserve"> [7]</w:t>
      </w:r>
      <w:r>
        <w:rPr>
          <w:color w:val="2F5D7C"/>
          <w:vertAlign w:val="superscript"/>
        </w:rPr>
        <w:t xml:space="preserve"> [8]</w:t>
      </w:r>
    </w:p>
    <w:p>
      <w:pPr>
        <w:pStyle w:val="DRBullet"/>
      </w:pPr>
      <w:r>
        <w:t>Benchmark wording, item quality, task selection, scoring, scaffolding, and human baselines can materially change results.</w:t>
      </w:r>
      <w:r>
        <w:rPr>
          <w:color w:val="2F5D7C"/>
          <w:vertAlign w:val="superscript"/>
        </w:rPr>
        <w:t xml:space="preserve"> [1]</w:t>
      </w:r>
      <w:r>
        <w:rPr>
          <w:color w:val="2F5D7C"/>
          <w:vertAlign w:val="superscript"/>
        </w:rPr>
        <w:t xml:space="preserve"> [4]</w:t>
      </w:r>
      <w:r>
        <w:rPr>
          <w:color w:val="2F5D7C"/>
          <w:vertAlign w:val="superscript"/>
        </w:rPr>
        <w:t xml:space="preserve"> [9]</w:t>
      </w:r>
      <w:r>
        <w:rPr>
          <w:color w:val="2F5D7C"/>
          <w:vertAlign w:val="superscript"/>
        </w:rPr>
        <w:t xml:space="preserve"> [10]</w:t>
      </w:r>
      <w:r>
        <w:rPr>
          <w:color w:val="2F5D7C"/>
          <w:vertAlign w:val="superscript"/>
        </w:rPr>
        <w:t xml:space="preserve"> [12]</w:t>
      </w:r>
    </w:p>
    <w:p>
      <w:pPr>
        <w:pStyle w:val="DRBullet"/>
      </w:pPr>
      <w:r>
        <w:t>Workplace studies show real productivity gains in some settings and slowdowns or uncertain effects in others.</w:t>
      </w:r>
      <w:r>
        <w:rPr>
          <w:color w:val="2F5D7C"/>
          <w:vertAlign w:val="superscript"/>
        </w:rPr>
        <w:t xml:space="preserve"> [5]</w:t>
      </w:r>
      <w:r>
        <w:rPr>
          <w:color w:val="2F5D7C"/>
          <w:vertAlign w:val="superscript"/>
        </w:rPr>
        <w:t xml:space="preserve"> [6]</w:t>
      </w:r>
      <w:r>
        <w:rPr>
          <w:color w:val="2F5D7C"/>
          <w:vertAlign w:val="superscript"/>
        </w:rPr>
        <w:t xml:space="preserve"> [14]</w:t>
      </w:r>
      <w:r>
        <w:rPr>
          <w:color w:val="2F5D7C"/>
          <w:vertAlign w:val="superscript"/>
        </w:rPr>
        <w:t xml:space="preserve"> [15]</w:t>
      </w:r>
      <w:r>
        <w:rPr>
          <w:color w:val="2F5D7C"/>
          <w:vertAlign w:val="superscript"/>
        </w:rPr>
        <w:t xml:space="preserve"> [16]</w:t>
      </w:r>
    </w:p>
    <w:p>
      <w:pPr>
        <w:pStyle w:val="Heading2"/>
      </w:pPr>
      <w:r>
        <w:t>Findings</w:t>
      </w:r>
    </w:p>
    <w:tbl>
      <w:tblPr>
        <w:tblW w:type="auto" w:w="0"/>
        <w:jc w:val="center"/>
        <w:tblLook w:firstColumn="1" w:firstRow="1" w:lastColumn="0" w:lastRow="0" w:noHBand="0" w:noVBand="1" w:val="04A0"/>
      </w:tblPr>
      <w:tblGrid>
        <w:gridCol w:w="10080"/>
      </w:tblGrid>
      <w:tr>
        <w:trPr>
          <w:tblHeader w:val="true"/>
          <w:cantSplit/>
        </w:trPr>
        <w:tc>
          <w:tcPr>
            <w:tcW w:type="dxa" w:w="10080"/>
            <w:shd w:fill="EAF1F5"/>
            <w:tcMar>
              <w:top w:w="130" w:type="dxa"/>
              <w:start w:w="160" w:type="dxa"/>
              <w:bottom w:w="130" w:type="dxa"/>
              <w:end w:w="160" w:type="dxa"/>
            </w:tcMar>
          </w:tcPr>
          <w:p>
            <w:pPr>
              <w:spacing w:after="0"/>
            </w:pPr>
            <w:r>
              <w:rPr>
                <w:b/>
                <w:color w:val="17324D"/>
              </w:rPr>
              <w:t xml:space="preserve">Finding  </w:t>
            </w:r>
            <w:r>
              <w:t>Benchmark performance is best treated as a conditional signal. It can help rank systems for matched, bounded work. It does not by itself establish a dependable failure rate, a productivity gain, or readiness for autonomous professional use.</w:t>
            </w:r>
          </w:p>
        </w:tc>
      </w:tr>
    </w:tbl>
    <w:p>
      <w:pPr>
        <w:spacing w:after="0"/>
      </w:pPr>
    </w:p>
    <w:p>
      <w:pPr>
        <w:pStyle w:val="Heading2"/>
      </w:pPr>
      <w:r>
        <w:t>Limitations</w:t>
      </w:r>
    </w:p>
    <w:p>
      <w:r>
        <w:t xml:space="preserve">This review did not locate a broad prospective study linking standardized benchmark scores to subsequent workplace outcomes for the same systems. This is a bounded search finding, not proof that no such study exists. The evidence base is also moving quickly, often vendor-produced, and thin on repeated trials and independent replication.</w:t>
      </w:r>
    </w:p>
    <w:p>
      <w:pPr>
        <w:pStyle w:val="Heading2"/>
      </w:pPr>
      <w:r>
        <w:t>Deliverables</w:t>
      </w:r>
    </w:p>
    <w:p>
      <w:r>
        <w:t xml:space="preserve">A client-readable research memo, claim-level evidence matrix, categorized source map, verification log, limitations register, adversarial review, and this public-facing summary.</w:t>
      </w:r>
    </w:p>
    <w:p>
      <w:pPr>
        <w:pStyle w:val="Heading2"/>
      </w:pPr>
      <w:r>
        <w:t>What this case demonstrates</w:t>
      </w:r>
    </w:p>
    <w:p>
      <w:r>
        <w:t>A clean source trail, conclusions scaled to the evidence, explicit uncertainty, active search for disconfirming evidence, and an organized handoff that lets a skeptical reader audit every important claim.</w:t>
      </w:r>
    </w:p>
    <w:p>
      <w:pPr>
        <w:pStyle w:val="Heading1"/>
      </w:pPr>
      <w:r>
        <w:t>Sources</w:t>
      </w:r>
    </w:p>
    <w:p>
      <w:r>
        <w:t xml:space="preserve">Numbered references correspond to source markers in the memo and S01–S20 in the matrix. Version-specific records were checked on 10 September 2026. Web pages are mutable. S21–S22 in the matrix are discovery/context links, not additional substantive sources.</w:t>
      </w:r>
    </w:p>
    <w:p>
      <w:pPr>
        <w:spacing w:after="80"/>
        <w:ind w:left="288" w:hanging="288"/>
      </w:pPr>
      <w:r>
        <w:t xml:space="preserve">1. OpenAI et al. (2025). </w:t>
        <w:rPr>
          <w:sz w:val="20"/>
        </w:rPr>
      </w:r>
      <w:hyperlink r:id="rId11">
        <w:r>
          <w:rPr>
            <w:color w:val="2F5D7C"/>
            <w:u w:val="single"/>
            <w:sz w:val="20"/>
          </w:rPr>
          <w:t>GDPval: Evaluating AI Model Performance on Real-World Economically Valuable Tasks</w:t>
        </w:r>
      </w:hyperlink>
      <w:r>
        <w:t xml:space="preserve"> — arXiv:2510.04374v1</w:t>
        <w:rPr>
          <w:sz w:val="20"/>
        </w:rPr>
      </w:r>
    </w:p>
    <w:p>
      <w:pPr>
        <w:spacing w:after="80"/>
        <w:ind w:left="288" w:hanging="288"/>
      </w:pPr>
      <w:r>
        <w:t xml:space="preserve">2. Miserendino et al. (2025). </w:t>
        <w:rPr>
          <w:sz w:val="20"/>
        </w:rPr>
      </w:r>
      <w:hyperlink r:id="rId12">
        <w:r>
          <w:rPr>
            <w:color w:val="2F5D7C"/>
            <w:u w:val="single"/>
            <w:sz w:val="20"/>
          </w:rPr>
          <w:t>SWE-Lancer: Can Frontier LLMs Earn $1 Million from Real-World Freelance Software Engineering?</w:t>
        </w:r>
      </w:hyperlink>
      <w:r>
        <w:t xml:space="preserve"> — arXiv:2502.12115v4</w:t>
        <w:rPr>
          <w:sz w:val="20"/>
        </w:rPr>
      </w:r>
    </w:p>
    <w:p>
      <w:pPr>
        <w:spacing w:after="80"/>
        <w:ind w:left="288" w:hanging="288"/>
      </w:pPr>
      <w:r>
        <w:t xml:space="preserve">3. Scale AI and Center for AI Safety researchers (2025). </w:t>
        <w:rPr>
          <w:sz w:val="20"/>
        </w:rPr>
      </w:r>
      <w:hyperlink r:id="rId13">
        <w:r>
          <w:rPr>
            <w:color w:val="2F5D7C"/>
            <w:u w:val="single"/>
            <w:sz w:val="20"/>
          </w:rPr>
          <w:t>Remote Labor Index: Measuring AI Automation of Remote Work</w:t>
        </w:r>
      </w:hyperlink>
      <w:r>
        <w:t xml:space="preserve"> — arXiv:2510.26787v1</w:t>
        <w:rPr>
          <w:sz w:val="20"/>
        </w:rPr>
      </w:r>
    </w:p>
    <w:p>
      <w:pPr>
        <w:spacing w:after="80"/>
        <w:ind w:left="288" w:hanging="288"/>
      </w:pPr>
      <w:r>
        <w:t xml:space="preserve">4. Kwa et al. (2025). </w:t>
        <w:rPr>
          <w:sz w:val="20"/>
        </w:rPr>
      </w:r>
      <w:hyperlink r:id="rId14">
        <w:r>
          <w:rPr>
            <w:color w:val="2F5D7C"/>
            <w:u w:val="single"/>
            <w:sz w:val="20"/>
          </w:rPr>
          <w:t xml:space="preserve">Measuring AI Ability to Complete Long Software Tasks</w:t>
        </w:r>
      </w:hyperlink>
      <w:r>
        <w:t xml:space="preserve"> — arXiv:2503.14499v4</w:t>
        <w:rPr>
          <w:sz w:val="20"/>
        </w:rPr>
      </w:r>
    </w:p>
    <w:p>
      <w:pPr>
        <w:spacing w:after="80"/>
        <w:ind w:left="288" w:hanging="288"/>
      </w:pPr>
      <w:r>
        <w:t xml:space="preserve">5. METR (2025). </w:t>
        <w:rPr>
          <w:sz w:val="20"/>
        </w:rPr>
      </w:r>
      <w:hyperlink r:id="rId15">
        <w:r>
          <w:rPr>
            <w:color w:val="2F5D7C"/>
            <w:u w:val="single"/>
            <w:sz w:val="20"/>
          </w:rPr>
          <w:t>Measuring the Impact of Early-2025 AI on Experienced Open-Source Developer Productivity</w:t>
        </w:r>
      </w:hyperlink>
    </w:p>
    <w:p>
      <w:pPr>
        <w:spacing w:after="80"/>
        <w:ind w:left="288" w:hanging="288"/>
      </w:pPr>
      <w:r>
        <w:t xml:space="preserve">6. METR (2026). </w:t>
        <w:rPr>
          <w:sz w:val="20"/>
        </w:rPr>
      </w:r>
      <w:hyperlink r:id="rId16">
        <w:r>
          <w:rPr>
            <w:color w:val="2F5D7C"/>
            <w:u w:val="single"/>
            <w:sz w:val="20"/>
          </w:rPr>
          <w:t xml:space="preserve">We are Changing our Developer Productivity Experiment Design</w:t>
        </w:r>
      </w:hyperlink>
    </w:p>
    <w:p>
      <w:pPr>
        <w:spacing w:after="80"/>
        <w:ind w:left="288" w:hanging="288"/>
      </w:pPr>
      <w:r>
        <w:t xml:space="preserve">7. Yao et al. (2024). </w:t>
        <w:rPr>
          <w:sz w:val="20"/>
        </w:rPr>
      </w:r>
      <w:hyperlink r:id="rId17">
        <w:r>
          <w:rPr>
            <w:color w:val="2F5D7C"/>
            <w:u w:val="single"/>
            <w:sz w:val="20"/>
          </w:rPr>
          <w:t>tau-bench: A Benchmark for Tool-Agent-User Interaction in Real-World Domains</w:t>
        </w:r>
      </w:hyperlink>
      <w:r>
        <w:t xml:space="preserve"> — arXiv:2406.12045v1</w:t>
        <w:rPr>
          <w:sz w:val="20"/>
        </w:rPr>
      </w:r>
    </w:p>
    <w:p>
      <w:pPr>
        <w:spacing w:after="80"/>
        <w:ind w:left="288" w:hanging="288"/>
      </w:pPr>
      <w:r>
        <w:t xml:space="preserve">8. Rabanser et al. (2026). </w:t>
        <w:rPr>
          <w:sz w:val="20"/>
        </w:rPr>
      </w:r>
      <w:hyperlink r:id="rId18">
        <w:r>
          <w:rPr>
            <w:color w:val="2F5D7C"/>
            <w:u w:val="single"/>
            <w:sz w:val="20"/>
          </w:rPr>
          <w:t>Towards a Science of AI Agent Reliability</w:t>
        </w:r>
      </w:hyperlink>
      <w:r>
        <w:t xml:space="preserve"> — arXiv:2602.16666v3</w:t>
        <w:rPr>
          <w:sz w:val="20"/>
        </w:rPr>
      </w:r>
    </w:p>
    <w:p>
      <w:pPr>
        <w:spacing w:after="80"/>
        <w:ind w:left="288" w:hanging="288"/>
      </w:pPr>
      <w:r>
        <w:t xml:space="preserve">9. Lunardi et al. (2025). </w:t>
        <w:rPr>
          <w:sz w:val="20"/>
        </w:rPr>
      </w:r>
      <w:hyperlink r:id="rId19">
        <w:r>
          <w:rPr>
            <w:color w:val="2F5D7C"/>
            <w:u w:val="single"/>
            <w:sz w:val="20"/>
          </w:rPr>
          <w:t>On Robustness and Reliability of Benchmark-Based Evaluation of LLMs</w:t>
        </w:r>
      </w:hyperlink>
      <w:r>
        <w:t xml:space="preserve"> — arXiv:2509.04013v1</w:t>
        <w:rPr>
          <w:sz w:val="20"/>
        </w:rPr>
      </w:r>
    </w:p>
    <w:p>
      <w:pPr>
        <w:spacing w:after="80"/>
        <w:ind w:left="288" w:hanging="288"/>
      </w:pPr>
      <w:r>
        <w:t xml:space="preserve">10. Gema et al. (2025). </w:t>
        <w:rPr>
          <w:sz w:val="20"/>
        </w:rPr>
      </w:r>
      <w:hyperlink r:id="rId20">
        <w:r>
          <w:rPr>
            <w:color w:val="2F5D7C"/>
            <w:u w:val="single"/>
            <w:sz w:val="20"/>
          </w:rPr>
          <w:t>Are We Done with MMLU?</w:t>
        </w:r>
      </w:hyperlink>
      <w:r>
        <w:t xml:space="preserve"> — arXiv:2406.04127v3</w:t>
        <w:rPr>
          <w:sz w:val="20"/>
        </w:rPr>
      </w:r>
    </w:p>
    <w:p>
      <w:pPr>
        <w:spacing w:after="80"/>
        <w:ind w:left="288" w:hanging="288"/>
      </w:pPr>
      <w:r>
        <w:t xml:space="preserve">11. White et al. (2024). </w:t>
        <w:rPr>
          <w:sz w:val="20"/>
        </w:rPr>
      </w:r>
      <w:hyperlink r:id="rId21">
        <w:r>
          <w:rPr>
            <w:color w:val="2F5D7C"/>
            <w:u w:val="single"/>
            <w:sz w:val="20"/>
          </w:rPr>
          <w:t>LiveBench: A Challenging, Contamination-Free LLM Benchmark</w:t>
        </w:r>
      </w:hyperlink>
      <w:r>
        <w:t xml:space="preserve"> — arXiv:2406.19314v1</w:t>
        <w:rPr>
          <w:sz w:val="20"/>
        </w:rPr>
      </w:r>
    </w:p>
    <w:p>
      <w:pPr>
        <w:spacing w:after="80"/>
        <w:ind w:left="288" w:hanging="288"/>
      </w:pPr>
      <w:r>
        <w:t xml:space="preserve">12. Dehghani et al. (2021). </w:t>
        <w:rPr>
          <w:sz w:val="20"/>
        </w:rPr>
      </w:r>
      <w:hyperlink r:id="rId22">
        <w:r>
          <w:rPr>
            <w:color w:val="2F5D7C"/>
            <w:u w:val="single"/>
            <w:sz w:val="20"/>
          </w:rPr>
          <w:t>The Benchmark Lottery</w:t>
        </w:r>
      </w:hyperlink>
      <w:r>
        <w:t xml:space="preserve"> — arXiv:2107.07002v1</w:t>
        <w:rPr>
          <w:sz w:val="20"/>
        </w:rPr>
      </w:r>
    </w:p>
    <w:p>
      <w:pPr>
        <w:spacing w:after="80"/>
        <w:ind w:left="288" w:hanging="288"/>
      </w:pPr>
      <w:r>
        <w:t xml:space="preserve">13. Liang et al. (2022). </w:t>
        <w:rPr>
          <w:sz w:val="20"/>
        </w:rPr>
      </w:r>
      <w:hyperlink r:id="rId23">
        <w:r>
          <w:rPr>
            <w:color w:val="2F5D7C"/>
            <w:u w:val="single"/>
            <w:sz w:val="20"/>
          </w:rPr>
          <w:t>Holistic Evaluation of Language Models</w:t>
        </w:r>
      </w:hyperlink>
      <w:r>
        <w:t xml:space="preserve"> — arXiv:2211.09110v2</w:t>
        <w:rPr>
          <w:sz w:val="20"/>
        </w:rPr>
      </w:r>
    </w:p>
    <w:p>
      <w:pPr>
        <w:spacing w:after="80"/>
        <w:ind w:left="288" w:hanging="288"/>
      </w:pPr>
      <w:r>
        <w:t xml:space="preserve">14. Peng et al. (2023). </w:t>
        <w:rPr>
          <w:sz w:val="20"/>
        </w:rPr>
      </w:r>
      <w:hyperlink r:id="rId24">
        <w:r>
          <w:rPr>
            <w:color w:val="2F5D7C"/>
            <w:u w:val="single"/>
            <w:sz w:val="20"/>
          </w:rPr>
          <w:t>The Impact of AI on Developer Productivity: Evidence from GitHub Copilot</w:t>
        </w:r>
      </w:hyperlink>
      <w:r>
        <w:t xml:space="preserve"> — arXiv:2302.06590v1</w:t>
        <w:rPr>
          <w:sz w:val="20"/>
        </w:rPr>
      </w:r>
    </w:p>
    <w:p>
      <w:pPr>
        <w:spacing w:after="80"/>
        <w:ind w:left="288" w:hanging="288"/>
      </w:pPr>
      <w:r>
        <w:t xml:space="preserve">15. Paradis et al. (2024). </w:t>
        <w:rPr>
          <w:sz w:val="20"/>
        </w:rPr>
      </w:r>
      <w:hyperlink r:id="rId25">
        <w:r>
          <w:rPr>
            <w:color w:val="2F5D7C"/>
            <w:u w:val="single"/>
            <w:sz w:val="20"/>
          </w:rPr>
          <w:t>How Much Does AI Impact Development Speed? An Enterprise-Based Randomized Controlled Trial</w:t>
        </w:r>
      </w:hyperlink>
      <w:r>
        <w:t xml:space="preserve"> — arXiv:2410.12944v1</w:t>
        <w:rPr>
          <w:sz w:val="20"/>
        </w:rPr>
      </w:r>
    </w:p>
    <w:p>
      <w:pPr>
        <w:spacing w:after="80"/>
        <w:ind w:left="288" w:hanging="288"/>
      </w:pPr>
      <w:r>
        <w:t xml:space="preserve">16. Brynjolfsson, Li, and Raymond (2024). </w:t>
        <w:rPr>
          <w:sz w:val="20"/>
        </w:rPr>
      </w:r>
      <w:hyperlink r:id="rId26">
        <w:r>
          <w:rPr>
            <w:color w:val="2F5D7C"/>
            <w:u w:val="single"/>
            <w:sz w:val="20"/>
          </w:rPr>
          <w:t>Generative AI at Work</w:t>
        </w:r>
      </w:hyperlink>
      <w:r>
        <w:t xml:space="preserve"> — arXiv:2304.11771v2</w:t>
        <w:rPr>
          <w:sz w:val="20"/>
        </w:rPr>
      </w:r>
    </w:p>
    <w:p>
      <w:pPr>
        <w:spacing w:after="80"/>
        <w:ind w:left="288" w:hanging="288"/>
      </w:pPr>
      <w:r>
        <w:t xml:space="preserve">17. Magesh et al. (2024). </w:t>
        <w:rPr>
          <w:sz w:val="20"/>
        </w:rPr>
      </w:r>
      <w:hyperlink r:id="rId27">
        <w:r>
          <w:rPr>
            <w:color w:val="2F5D7C"/>
            <w:u w:val="single"/>
            <w:sz w:val="20"/>
          </w:rPr>
          <w:t>Hallucination-Free? Assessing the Reliability of Leading AI Legal Research Tools</w:t>
        </w:r>
      </w:hyperlink>
      <w:r>
        <w:t xml:space="preserve"> — arXiv:2405.20362v1</w:t>
        <w:rPr>
          <w:sz w:val="20"/>
        </w:rPr>
      </w:r>
    </w:p>
    <w:p>
      <w:pPr>
        <w:spacing w:after="80"/>
        <w:ind w:left="288" w:hanging="288"/>
      </w:pPr>
      <w:r>
        <w:t xml:space="preserve">18. Dahl et al. (2024). </w:t>
        <w:rPr>
          <w:sz w:val="20"/>
        </w:rPr>
      </w:r>
      <w:hyperlink r:id="rId28">
        <w:r>
          <w:rPr>
            <w:color w:val="2F5D7C"/>
            <w:u w:val="single"/>
            <w:sz w:val="20"/>
          </w:rPr>
          <w:t>Large Legal Fictions: Profiling Legal Hallucinations in Large Language Models</w:t>
        </w:r>
      </w:hyperlink>
      <w:r>
        <w:t xml:space="preserve"> — arXiv:2401.01301v2</w:t>
        <w:rPr>
          <w:sz w:val="20"/>
        </w:rPr>
      </w:r>
    </w:p>
    <w:p>
      <w:pPr>
        <w:spacing w:after="80"/>
        <w:ind w:left="288" w:hanging="288"/>
      </w:pPr>
      <w:r>
        <w:t xml:space="preserve">19. Xu et al. (2024). </w:t>
        <w:rPr>
          <w:sz w:val="20"/>
        </w:rPr>
      </w:r>
      <w:hyperlink r:id="rId29">
        <w:r>
          <w:rPr>
            <w:color w:val="2F5D7C"/>
            <w:u w:val="single"/>
            <w:sz w:val="20"/>
          </w:rPr>
          <w:t>TheAgentCompany: Benchmarking LLM Agents on Consequential Real World Tasks</w:t>
        </w:r>
      </w:hyperlink>
      <w:r>
        <w:t xml:space="preserve"> — arXiv:2412.14161v1</w:t>
        <w:rPr>
          <w:sz w:val="20"/>
        </w:rPr>
      </w:r>
    </w:p>
    <w:p>
      <w:pPr>
        <w:spacing w:after="80"/>
        <w:ind w:left="288" w:hanging="288"/>
      </w:pPr>
      <w:r>
        <w:t xml:space="preserve">20. Mercor (2026). </w:t>
        <w:rPr>
          <w:sz w:val="20"/>
        </w:rPr>
      </w:r>
      <w:hyperlink r:id="rId30">
        <w:r>
          <w:rPr>
            <w:color w:val="2F5D7C"/>
            <w:u w:val="single"/>
            <w:sz w:val="20"/>
          </w:rPr>
          <w:t>APEX-Agents</w:t>
        </w:r>
      </w:hyperlink>
    </w:p>
    <w:sectPr>
      <w:headerReference w:type="default" r:id="rId9"/>
      <w:footerReference w:type="default" r:id="rId10"/>
      <w:pgSz w:w="12240" w:h="15840"/>
      <w:pgMar w:top="979" w:right="1037" w:bottom="1224" w:left="1123" w:header="720"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Diagnostic Research  •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right"/>
    </w:pPr>
    <w:r>
      <w:t>DIAGNOSTIC RESEARCH  /  PORTFOLIO CASE STUDY 001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59" w:lineRule="auto"/>
    </w:pPr>
    <w:rPr>
      <w:rFonts w:ascii="Aptos" w:hAnsi="Aptos"/>
      <w:color w:val="20262E"/>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Aptos Display" w:hAnsi="Aptos Display"/>
      <w:b/>
      <w:bCs/>
      <w:color w:val="17324D"/>
      <w:sz w:val="36"/>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F5D7C"/>
      <w:sz w:val="26"/>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Aptos" w:hAnsi="Aptos"/>
      <w:b/>
      <w:bCs/>
      <w:color w:val="397C7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ptos Display" w:hAnsi="Aptos Display"/>
      <w:b/>
      <w:color w:val="17324D"/>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ptos" w:hAnsi="Aptos"/>
      <w:b/>
      <w:bCs/>
      <w:color w:val="6B7280"/>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RBullet">
    <w:name w:val="DR Bullet"/>
    <w:basedOn w:val="Normal"/>
    <w:pPr>
      <w:spacing w:after="60"/>
      <w:ind w:left="317" w:hanging="202"/>
      <w:numPr/>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arxiv.org/abs/2510.04374v1" TargetMode="External"/><Relationship Id="rId12" Type="http://schemas.openxmlformats.org/officeDocument/2006/relationships/hyperlink" Target="https://arxiv.org/abs/2502.12115v4" TargetMode="External"/><Relationship Id="rId13" Type="http://schemas.openxmlformats.org/officeDocument/2006/relationships/hyperlink" Target="https://arxiv.org/abs/2510.26787v1" TargetMode="External"/><Relationship Id="rId14" Type="http://schemas.openxmlformats.org/officeDocument/2006/relationships/hyperlink" Target="https://arxiv.org/abs/2503.14499v4" TargetMode="External"/><Relationship Id="rId15" Type="http://schemas.openxmlformats.org/officeDocument/2006/relationships/hyperlink" Target="https://metr.org/blog/2025-07-10-early-2025-ai-experienced-os-dev-study/" TargetMode="External"/><Relationship Id="rId16" Type="http://schemas.openxmlformats.org/officeDocument/2006/relationships/hyperlink" Target="https://metr.org/blog/2026-02-24-uplift-update/" TargetMode="External"/><Relationship Id="rId17" Type="http://schemas.openxmlformats.org/officeDocument/2006/relationships/hyperlink" Target="https://arxiv.org/abs/2406.12045v1" TargetMode="External"/><Relationship Id="rId18" Type="http://schemas.openxmlformats.org/officeDocument/2006/relationships/hyperlink" Target="https://arxiv.org/abs/2602.16666v3" TargetMode="External"/><Relationship Id="rId19" Type="http://schemas.openxmlformats.org/officeDocument/2006/relationships/hyperlink" Target="https://arxiv.org/abs/2509.04013v1" TargetMode="External"/><Relationship Id="rId20" Type="http://schemas.openxmlformats.org/officeDocument/2006/relationships/hyperlink" Target="https://arxiv.org/abs/2406.04127v3" TargetMode="External"/><Relationship Id="rId21" Type="http://schemas.openxmlformats.org/officeDocument/2006/relationships/hyperlink" Target="https://arxiv.org/abs/2406.19314v1" TargetMode="External"/><Relationship Id="rId22" Type="http://schemas.openxmlformats.org/officeDocument/2006/relationships/hyperlink" Target="https://arxiv.org/abs/2107.07002v1" TargetMode="External"/><Relationship Id="rId23" Type="http://schemas.openxmlformats.org/officeDocument/2006/relationships/hyperlink" Target="https://arxiv.org/abs/2211.09110v2" TargetMode="External"/><Relationship Id="rId24" Type="http://schemas.openxmlformats.org/officeDocument/2006/relationships/hyperlink" Target="https://arxiv.org/abs/2302.06590v1" TargetMode="External"/><Relationship Id="rId25" Type="http://schemas.openxmlformats.org/officeDocument/2006/relationships/hyperlink" Target="https://arxiv.org/abs/2410.12944v1" TargetMode="External"/><Relationship Id="rId26" Type="http://schemas.openxmlformats.org/officeDocument/2006/relationships/hyperlink" Target="https://arxiv.org/abs/2304.11771v2" TargetMode="External"/><Relationship Id="rId27" Type="http://schemas.openxmlformats.org/officeDocument/2006/relationships/hyperlink" Target="https://arxiv.org/abs/2405.20362v1" TargetMode="External"/><Relationship Id="rId28" Type="http://schemas.openxmlformats.org/officeDocument/2006/relationships/hyperlink" Target="https://arxiv.org/abs/2401.01301v2" TargetMode="External"/><Relationship Id="rId29" Type="http://schemas.openxmlformats.org/officeDocument/2006/relationships/hyperlink" Target="https://arxiv.org/abs/2412.14161v1" TargetMode="External"/><Relationship Id="rId30" Type="http://schemas.openxmlformats.org/officeDocument/2006/relationships/hyperlink" Target="https://www.mercor.com/blog/introducing-apex-ag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Benchmarks and Reliable Professional Performance</dc:title>
  <dc:subject>Diagnostic Research Portfolio Case Study 001</dc:subject>
  <dc:creator/>
  <cp:keywords>AI benchmarks; professional tasks; reliability; ecological validity; evidence synthesis</cp:keywords>
  <dc:description>Diagnostic Research portfolio case study</dc:description>
  <cp:lastModifiedBy/>
  <cp:revision>1</cp:revision>
  <dcterms:created xsi:type="dcterms:W3CDTF">2013-12-23T23:15:00Z</dcterms:created>
  <dcterms:modified xsi:type="dcterms:W3CDTF">2013-12-23T23:15:00Z</dcterms:modified>
  <cp:category/>
</cp:coreProperties>
</file>